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Look w:val="00A0"/>
      </w:tblPr>
      <w:tblGrid>
        <w:gridCol w:w="2518"/>
        <w:gridCol w:w="7967"/>
      </w:tblGrid>
      <w:tr w:rsidR="0049323C" w:rsidTr="009524C5">
        <w:tc>
          <w:tcPr>
            <w:tcW w:w="2518" w:type="dxa"/>
          </w:tcPr>
          <w:p w:rsidR="0049323C" w:rsidRDefault="0049323C" w:rsidP="009524C5">
            <w:pPr>
              <w:pStyle w:val="NOSSideHeading"/>
              <w:ind w:right="-108"/>
            </w:pPr>
            <w:bookmarkStart w:id="0" w:name="Overview"/>
            <w:r>
              <w:t>Overview</w:t>
            </w:r>
            <w:r>
              <w:br/>
            </w:r>
          </w:p>
        </w:tc>
        <w:tc>
          <w:tcPr>
            <w:tcW w:w="7967" w:type="dxa"/>
          </w:tcPr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  <w:bookmarkStart w:id="1" w:name="StartOverview"/>
            <w:bookmarkEnd w:id="1"/>
            <w:r>
              <w:t xml:space="preserve">This unit is about implementing and reviewing a forensic strategy.  It includes monitoring the strategy as the forensic investigation process progresses, and making changes to the strategy as a consequence of the outcomes and  developing requirements of the investigation. </w:t>
            </w: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  <w:r>
              <w:t>It is recognised that forensic strategy can be implemented for both incidents and operations. This unit is intended to apply equally to both circumstances.</w:t>
            </w: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  <w:r>
              <w:t>Maintaining your own health and safety, and also that of others, together with maintaining the integrity and continuity of forensic materials is of paramount importance.</w:t>
            </w: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</w:p>
          <w:p w:rsidR="0049323C" w:rsidRPr="00D96441" w:rsidRDefault="0049323C" w:rsidP="00823628">
            <w:pPr>
              <w:pStyle w:val="NOSNumberList"/>
              <w:numPr>
                <w:ilvl w:val="0"/>
                <w:numId w:val="0"/>
              </w:numPr>
              <w:rPr>
                <w:b/>
              </w:rPr>
            </w:pPr>
            <w:r w:rsidRPr="00D96441">
              <w:rPr>
                <w:b/>
              </w:rPr>
              <w:t>There is one element</w:t>
            </w: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</w:p>
          <w:p w:rsidR="0049323C" w:rsidRDefault="0049323C" w:rsidP="00823628">
            <w:pPr>
              <w:pStyle w:val="NOSNumberList"/>
              <w:numPr>
                <w:ilvl w:val="0"/>
                <w:numId w:val="0"/>
              </w:numPr>
            </w:pPr>
            <w:r>
              <w:t>1      Implement and review forensic strategy for investigations</w:t>
            </w:r>
          </w:p>
          <w:p w:rsidR="0049323C" w:rsidRDefault="0049323C" w:rsidP="00D96441">
            <w:pPr>
              <w:pStyle w:val="NOSNumberList"/>
              <w:numPr>
                <w:ilvl w:val="0"/>
                <w:numId w:val="0"/>
              </w:numPr>
            </w:pPr>
          </w:p>
        </w:tc>
      </w:tr>
      <w:bookmarkEnd w:id="0"/>
    </w:tbl>
    <w:p w:rsidR="0049323C" w:rsidRDefault="0049323C">
      <w:r>
        <w:br w:type="page"/>
      </w:r>
      <w:bookmarkStart w:id="2" w:name="EndOverview"/>
      <w:bookmarkEnd w:id="2"/>
    </w:p>
    <w:tbl>
      <w:tblPr>
        <w:tblW w:w="0" w:type="auto"/>
        <w:tblLook w:val="00A0"/>
      </w:tblPr>
      <w:tblGrid>
        <w:gridCol w:w="2518"/>
        <w:gridCol w:w="7902"/>
      </w:tblGrid>
      <w:tr w:rsidR="0049323C" w:rsidRPr="00CF4D98" w:rsidTr="00690067">
        <w:tc>
          <w:tcPr>
            <w:tcW w:w="2518" w:type="dxa"/>
          </w:tcPr>
          <w:p w:rsidR="0049323C" w:rsidRDefault="0049323C" w:rsidP="0050084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i/>
                <w:iCs/>
                <w:color w:val="0078C1"/>
              </w:rPr>
            </w:pPr>
            <w:bookmarkStart w:id="3" w:name="Performance"/>
            <w:r w:rsidRPr="0036118B">
              <w:rPr>
                <w:rFonts w:ascii="Arial" w:hAnsi="Arial" w:cs="Arial"/>
                <w:b/>
                <w:bCs/>
                <w:color w:val="0078C1"/>
                <w:sz w:val="26"/>
                <w:lang w:eastAsia="en-GB"/>
              </w:rPr>
              <w:t>Performance criteria</w:t>
            </w:r>
            <w:r>
              <w:rPr>
                <w:rFonts w:ascii="Helvetica" w:hAnsi="Helvetica" w:cs="Helvetica"/>
                <w:b/>
                <w:bCs/>
                <w:color w:val="0078C1"/>
                <w:sz w:val="26"/>
                <w:lang w:eastAsia="en-GB"/>
              </w:rPr>
              <w:br/>
            </w:r>
          </w:p>
          <w:p w:rsidR="0049323C" w:rsidRDefault="0049323C" w:rsidP="00016B9A">
            <w:pPr>
              <w:pStyle w:val="NOSSideSubHeading"/>
              <w:spacing w:line="240" w:lineRule="auto"/>
            </w:pPr>
            <w:r w:rsidRPr="00CF4D98">
              <w:t>You must be able to:</w:t>
            </w:r>
          </w:p>
          <w:p w:rsidR="0049323C" w:rsidRPr="00CF4D98" w:rsidRDefault="0049323C" w:rsidP="00016B9A">
            <w:pPr>
              <w:pStyle w:val="NOSSideSubHeading"/>
              <w:spacing w:line="240" w:lineRule="auto"/>
            </w:pPr>
          </w:p>
        </w:tc>
        <w:tc>
          <w:tcPr>
            <w:tcW w:w="7902" w:type="dxa"/>
          </w:tcPr>
          <w:p w:rsidR="0049323C" w:rsidRDefault="0049323C" w:rsidP="002E1D23">
            <w:pPr>
              <w:pStyle w:val="NOSBodyHeading"/>
              <w:spacing w:line="276" w:lineRule="auto"/>
            </w:pPr>
            <w:bookmarkStart w:id="4" w:name="StartPerformance"/>
            <w:bookmarkEnd w:id="4"/>
          </w:p>
          <w:p w:rsidR="0049323C" w:rsidRDefault="0049323C" w:rsidP="002E1D23">
            <w:pPr>
              <w:pStyle w:val="NOSBodyHeading"/>
              <w:spacing w:line="276" w:lineRule="auto"/>
            </w:pPr>
          </w:p>
          <w:p w:rsidR="0049323C" w:rsidRPr="001B0A7B" w:rsidRDefault="0049323C" w:rsidP="002E1D23">
            <w:pPr>
              <w:pStyle w:val="NOSBodyHeading"/>
              <w:spacing w:line="276" w:lineRule="auto"/>
              <w:rPr>
                <w:b w:val="0"/>
              </w:rPr>
            </w:pP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make sure that those involved understand the strategy, and  their  associated responsibilities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progress the strategy and agreed actions promptly and correctly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monitor the developing circumstances and needs of the investigation, including any possible alternative scenarios, and assess correctly their implications for the forensic strategy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monitor implementation of the strategy and the outcomes arising, using  the methods agreed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agree and develop the forensic strategy, and associated actions, in line with identified outcomes and the forensic objectives for the investigation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inform promptly all relevant persons involved of any changes to the forensic strategy and associated actions, and where relevant, the  reasons for such changes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record fully, clearly and accurately the actions undertaken and the outcomes arising</w:t>
            </w:r>
          </w:p>
          <w:p w:rsidR="0049323C" w:rsidRPr="001B0A7B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>record any changes made to the strategy and action plan as a consequence of outcomes arising, setting out clearly the reasons for these changes</w:t>
            </w:r>
          </w:p>
          <w:p w:rsidR="0049323C" w:rsidRDefault="0049323C" w:rsidP="002E1D23">
            <w:pPr>
              <w:pStyle w:val="NOSBodyHeading"/>
              <w:numPr>
                <w:ilvl w:val="0"/>
                <w:numId w:val="16"/>
              </w:num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evaluate the effectiveness of the strategy and the associated actions, and use this to inform future strategy planning </w:t>
            </w:r>
          </w:p>
          <w:p w:rsidR="0049323C" w:rsidRPr="001B0A7B" w:rsidRDefault="0049323C" w:rsidP="00D96441">
            <w:pPr>
              <w:pStyle w:val="NOSBodyHeading"/>
              <w:spacing w:line="276" w:lineRule="auto"/>
              <w:rPr>
                <w:b w:val="0"/>
              </w:rPr>
            </w:pPr>
          </w:p>
        </w:tc>
      </w:tr>
    </w:tbl>
    <w:p w:rsidR="0049323C" w:rsidRDefault="0049323C" w:rsidP="0052780A">
      <w:bookmarkStart w:id="5" w:name="EndPerformance"/>
      <w:bookmarkEnd w:id="3"/>
      <w:bookmarkEnd w:id="5"/>
    </w:p>
    <w:p w:rsidR="0049323C" w:rsidRDefault="0049323C">
      <w:r>
        <w:br w:type="page"/>
      </w:r>
    </w:p>
    <w:tbl>
      <w:tblPr>
        <w:tblW w:w="0" w:type="auto"/>
        <w:tblLook w:val="00A0"/>
      </w:tblPr>
      <w:tblGrid>
        <w:gridCol w:w="2518"/>
        <w:gridCol w:w="7902"/>
      </w:tblGrid>
      <w:tr w:rsidR="0049323C" w:rsidRPr="00CF4D98" w:rsidTr="00690067">
        <w:tc>
          <w:tcPr>
            <w:tcW w:w="2518" w:type="dxa"/>
          </w:tcPr>
          <w:p w:rsidR="0049323C" w:rsidRDefault="0049323C" w:rsidP="00173AEB">
            <w:pPr>
              <w:pStyle w:val="NOSSideHeading"/>
              <w:rPr>
                <w:rFonts w:ascii="Helvetica" w:hAnsi="Helvetica" w:cs="Helvetica"/>
                <w:b w:val="0"/>
                <w:i/>
                <w:iCs/>
                <w:noProof w:val="0"/>
                <w:color w:val="0078C1"/>
                <w:sz w:val="22"/>
              </w:rPr>
            </w:pPr>
            <w:r w:rsidRPr="0036118B">
              <w:rPr>
                <w:rFonts w:cs="Arial"/>
              </w:rPr>
              <w:t>K</w:t>
            </w:r>
            <w:r w:rsidRPr="0036118B">
              <w:rPr>
                <w:rFonts w:cs="Arial"/>
                <w:bCs/>
              </w:rPr>
              <w:t>nowledge and understanding</w:t>
            </w:r>
            <w:r>
              <w:rPr>
                <w:rFonts w:ascii="Helvetica" w:hAnsi="Helvetica"/>
              </w:rPr>
              <w:br/>
            </w:r>
            <w:bookmarkStart w:id="6" w:name="Knowledge"/>
          </w:p>
          <w:p w:rsidR="0049323C" w:rsidRPr="0036118B" w:rsidRDefault="0049323C" w:rsidP="00173AEB">
            <w:pPr>
              <w:pStyle w:val="NOSSideSubHeading"/>
              <w:spacing w:line="240" w:lineRule="auto"/>
              <w:rPr>
                <w:rFonts w:cs="Arial"/>
                <w:iCs/>
                <w:noProof w:val="0"/>
                <w:color w:val="0078C1"/>
              </w:rPr>
            </w:pPr>
            <w:r w:rsidRPr="0036118B">
              <w:rPr>
                <w:rFonts w:cs="Arial"/>
                <w:iCs/>
                <w:noProof w:val="0"/>
                <w:color w:val="0078C1"/>
              </w:rPr>
              <w:t>You need to know and understand:</w:t>
            </w:r>
          </w:p>
          <w:p w:rsidR="0049323C" w:rsidRDefault="0049323C" w:rsidP="00173AEB">
            <w:pPr>
              <w:pStyle w:val="NOSSideSubHeading"/>
              <w:spacing w:line="240" w:lineRule="auto"/>
              <w:rPr>
                <w:rFonts w:ascii="Helvetica" w:hAnsi="Helvetica" w:cs="Helvetica"/>
                <w:iCs/>
                <w:noProof w:val="0"/>
                <w:color w:val="0078C1"/>
              </w:rPr>
            </w:pPr>
          </w:p>
          <w:p w:rsidR="0049323C" w:rsidRPr="00CF4D98" w:rsidRDefault="0049323C" w:rsidP="00690067">
            <w:pPr>
              <w:pStyle w:val="NOSSideSubHeading"/>
            </w:pPr>
          </w:p>
        </w:tc>
        <w:tc>
          <w:tcPr>
            <w:tcW w:w="7902" w:type="dxa"/>
          </w:tcPr>
          <w:p w:rsidR="0049323C" w:rsidRPr="00D96441" w:rsidRDefault="0049323C" w:rsidP="00D96441">
            <w:pPr>
              <w:pStyle w:val="NOSBodyHeading"/>
              <w:spacing w:line="276" w:lineRule="auto"/>
              <w:rPr>
                <w:rFonts w:cs="Arial"/>
              </w:rPr>
            </w:pPr>
            <w:bookmarkStart w:id="7" w:name="StartKnowledge"/>
            <w:bookmarkEnd w:id="7"/>
            <w:r w:rsidRPr="00D96441">
              <w:rPr>
                <w:rFonts w:cs="Arial"/>
              </w:rPr>
              <w:t>Legal and organisational requirements</w:t>
            </w:r>
          </w:p>
          <w:p w:rsidR="0049323C" w:rsidRDefault="0049323C" w:rsidP="00D96441">
            <w:pPr>
              <w:pStyle w:val="NOSBodyHeading"/>
              <w:spacing w:line="276" w:lineRule="auto"/>
              <w:rPr>
                <w:rFonts w:cs="Arial"/>
                <w:b w:val="0"/>
              </w:rPr>
            </w:pPr>
          </w:p>
          <w:p w:rsidR="0049323C" w:rsidRPr="001B0A7B" w:rsidRDefault="0049323C" w:rsidP="00D96441">
            <w:pPr>
              <w:pStyle w:val="NOSBodyHeading"/>
              <w:spacing w:line="276" w:lineRule="auto"/>
              <w:rPr>
                <w:b w:val="0"/>
              </w:rPr>
            </w:pP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requirements of current law, policies, operating procedures and guidelines relevant to implementing forensic strategy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implications for your work of current law, policies and procedures relating to health and safety, information and data handling, human rights and the criminal justice system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your level of expertise and authority regarding an investigation, where additional expertise and/or authority may be needed and how to access this</w:t>
            </w:r>
          </w:p>
          <w:p w:rsidR="0049323C" w:rsidRPr="00D96441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how to maintain effective communications with others involved in implementing and reviewing the forensic strategy</w:t>
            </w:r>
          </w:p>
          <w:p w:rsidR="0049323C" w:rsidRPr="001B0A7B" w:rsidRDefault="0049323C" w:rsidP="00D96441">
            <w:pPr>
              <w:pStyle w:val="NOSBodyHeading"/>
              <w:spacing w:line="276" w:lineRule="auto"/>
              <w:rPr>
                <w:b w:val="0"/>
              </w:rPr>
            </w:pPr>
          </w:p>
        </w:tc>
      </w:tr>
      <w:tr w:rsidR="0049323C" w:rsidRPr="00CF4D98" w:rsidTr="00690067">
        <w:tc>
          <w:tcPr>
            <w:tcW w:w="2518" w:type="dxa"/>
          </w:tcPr>
          <w:p w:rsidR="0049323C" w:rsidRDefault="0049323C" w:rsidP="00D96441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</w:p>
          <w:p w:rsidR="0049323C" w:rsidRDefault="0049323C" w:rsidP="00D96441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</w:p>
          <w:p w:rsidR="0049323C" w:rsidRPr="00D96441" w:rsidRDefault="0049323C" w:rsidP="00D96441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  <w:r w:rsidRPr="00D96441">
              <w:rPr>
                <w:rFonts w:cs="Arial"/>
                <w:iCs/>
                <w:noProof w:val="0"/>
                <w:color w:val="0078C1"/>
              </w:rPr>
              <w:t>You need to know and understand:</w:t>
            </w:r>
          </w:p>
          <w:p w:rsidR="0049323C" w:rsidRPr="00D96441" w:rsidRDefault="0049323C" w:rsidP="00D96441">
            <w:pPr>
              <w:pStyle w:val="NOSSideHeading"/>
              <w:spacing w:line="276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49323C" w:rsidRDefault="0049323C" w:rsidP="00D96441">
            <w:pPr>
              <w:pStyle w:val="NOSBodyHeading"/>
              <w:spacing w:line="276" w:lineRule="auto"/>
              <w:rPr>
                <w:rFonts w:cs="Arial"/>
              </w:rPr>
            </w:pPr>
            <w:r w:rsidRPr="00D96441">
              <w:rPr>
                <w:rFonts w:cs="Arial"/>
              </w:rPr>
              <w:t>Forensic strategy</w:t>
            </w:r>
          </w:p>
          <w:p w:rsidR="0049323C" w:rsidRPr="00D96441" w:rsidRDefault="0049323C" w:rsidP="00D96441">
            <w:pPr>
              <w:pStyle w:val="NOSBodyHeading"/>
              <w:spacing w:line="276" w:lineRule="auto"/>
            </w:pP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an effective forensic strategy and the aspects which it should address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monitoring the progress and outcomes of a forensic strategy, and of the investigation's developing needs, the factors to consider, and the importance of developing the forensic strategy  accordingly, as required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monitoring the costs associated with implementing the forensic strategy, and the actions to take where these vary from an agreed budget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roles and responsibilities of those involved in implementing a  forensic strategy, including those within the forensic investigative team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main types of physical evidence and methods for ensuring their effective recovery and preservation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setting forensic objectives for each piece of material to be recovered, including the prioritising of the actions necessary to recover the samples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principal types of risks that might be present during an examination, how to identify and assess these, and the actions to take in addressing them</w:t>
            </w:r>
          </w:p>
          <w:p w:rsidR="0049323C" w:rsidRPr="001B0A7B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maintaining integrity and security during an examination</w:t>
            </w:r>
          </w:p>
          <w:p w:rsidR="0049323C" w:rsidRPr="00D96441" w:rsidRDefault="0049323C" w:rsidP="00D96441">
            <w:pPr>
              <w:pStyle w:val="NOSBodyHeading"/>
              <w:numPr>
                <w:ilvl w:val="0"/>
                <w:numId w:val="17"/>
              </w:numPr>
              <w:spacing w:line="276" w:lineRule="auto"/>
              <w:rPr>
                <w:b w:val="0"/>
              </w:rPr>
            </w:pPr>
            <w:r>
              <w:rPr>
                <w:rFonts w:cs="Arial"/>
                <w:b w:val="0"/>
              </w:rPr>
              <w:t>the importance of maintaining integrity and security of forensic items and samples and how to do this</w:t>
            </w:r>
          </w:p>
          <w:p w:rsidR="0049323C" w:rsidRPr="00D96441" w:rsidRDefault="0049323C" w:rsidP="00D96441">
            <w:pPr>
              <w:pStyle w:val="NOSBodyHeading"/>
              <w:spacing w:line="276" w:lineRule="auto"/>
              <w:rPr>
                <w:rFonts w:cs="Arial"/>
              </w:rPr>
            </w:pPr>
          </w:p>
        </w:tc>
      </w:tr>
      <w:tr w:rsidR="0049323C" w:rsidRPr="00CF4D98" w:rsidTr="00690067">
        <w:tc>
          <w:tcPr>
            <w:tcW w:w="2518" w:type="dxa"/>
          </w:tcPr>
          <w:p w:rsidR="0049323C" w:rsidRDefault="0049323C" w:rsidP="00EC53C2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</w:p>
          <w:p w:rsidR="0049323C" w:rsidRDefault="0049323C" w:rsidP="00EC53C2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</w:p>
          <w:p w:rsidR="0049323C" w:rsidRPr="0078042E" w:rsidRDefault="0049323C" w:rsidP="0078042E">
            <w:pPr>
              <w:pStyle w:val="NOSSideSubHeading"/>
              <w:spacing w:line="276" w:lineRule="auto"/>
              <w:rPr>
                <w:rFonts w:cs="Arial"/>
                <w:iCs/>
                <w:noProof w:val="0"/>
                <w:color w:val="0078C1"/>
              </w:rPr>
            </w:pPr>
            <w:r w:rsidRPr="00D96441">
              <w:t>You need to know and understand:</w:t>
            </w:r>
          </w:p>
        </w:tc>
        <w:tc>
          <w:tcPr>
            <w:tcW w:w="7902" w:type="dxa"/>
          </w:tcPr>
          <w:p w:rsidR="0049323C" w:rsidRDefault="0049323C" w:rsidP="00D96441">
            <w:pPr>
              <w:pStyle w:val="NOSBodyHeading"/>
              <w:spacing w:line="276" w:lineRule="auto"/>
              <w:rPr>
                <w:rFonts w:cs="Arial"/>
              </w:rPr>
            </w:pPr>
            <w:r w:rsidRPr="00D96441">
              <w:rPr>
                <w:rFonts w:cs="Arial"/>
              </w:rPr>
              <w:t>Health and safety</w:t>
            </w:r>
          </w:p>
          <w:p w:rsidR="0049323C" w:rsidRDefault="0049323C" w:rsidP="00D96441">
            <w:pPr>
              <w:pStyle w:val="NOSBodyHeading"/>
              <w:spacing w:line="276" w:lineRule="auto"/>
              <w:rPr>
                <w:rFonts w:cs="Arial"/>
              </w:rPr>
            </w:pPr>
          </w:p>
          <w:p w:rsidR="00B05499" w:rsidRDefault="00B05499" w:rsidP="00B05499">
            <w:pPr>
              <w:pStyle w:val="NOSBodyHeading"/>
              <w:spacing w:line="276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K14  </w:t>
            </w:r>
            <w:r w:rsidR="0049323C">
              <w:rPr>
                <w:rFonts w:cs="Arial"/>
                <w:b w:val="0"/>
              </w:rPr>
              <w:t>potential health and safety hazards d</w:t>
            </w:r>
            <w:r>
              <w:rPr>
                <w:rFonts w:cs="Arial"/>
                <w:b w:val="0"/>
              </w:rPr>
              <w:t>uring an examination and how to</w:t>
            </w:r>
          </w:p>
          <w:p w:rsidR="0049323C" w:rsidRPr="00D96441" w:rsidRDefault="00B05499" w:rsidP="00B05499">
            <w:pPr>
              <w:pStyle w:val="NOSBodyHeading"/>
              <w:spacing w:line="276" w:lineRule="auto"/>
              <w:rPr>
                <w:rFonts w:cs="Arial"/>
              </w:rPr>
            </w:pPr>
            <w:r>
              <w:rPr>
                <w:rFonts w:cs="Arial"/>
                <w:b w:val="0"/>
              </w:rPr>
              <w:t xml:space="preserve">        a</w:t>
            </w:r>
            <w:r w:rsidR="0049323C">
              <w:rPr>
                <w:rFonts w:cs="Arial"/>
                <w:b w:val="0"/>
              </w:rPr>
              <w:t>ssess and address risks to health and safety</w:t>
            </w:r>
          </w:p>
        </w:tc>
      </w:tr>
    </w:tbl>
    <w:p w:rsidR="0049323C" w:rsidRDefault="0049323C">
      <w:bookmarkStart w:id="8" w:name="EndKnowledge"/>
      <w:bookmarkEnd w:id="6"/>
      <w:bookmarkEnd w:id="8"/>
      <w:r>
        <w:br w:type="page"/>
      </w:r>
    </w:p>
    <w:tbl>
      <w:tblPr>
        <w:tblW w:w="0" w:type="auto"/>
        <w:tblLook w:val="00A0"/>
      </w:tblPr>
      <w:tblGrid>
        <w:gridCol w:w="2518"/>
        <w:gridCol w:w="7902"/>
      </w:tblGrid>
      <w:tr w:rsidR="0049323C" w:rsidRPr="00CF4D98" w:rsidTr="00690067">
        <w:tc>
          <w:tcPr>
            <w:tcW w:w="2518" w:type="dxa"/>
          </w:tcPr>
          <w:p w:rsidR="0049323C" w:rsidRPr="00D96441" w:rsidRDefault="0049323C" w:rsidP="00690067">
            <w:pPr>
              <w:pStyle w:val="NOSSideHeading"/>
              <w:rPr>
                <w:rFonts w:cs="Arial"/>
              </w:rPr>
            </w:pPr>
            <w:bookmarkStart w:id="9" w:name="EndBookmark"/>
            <w:bookmarkEnd w:id="9"/>
            <w:r w:rsidRPr="00D96441">
              <w:rPr>
                <w:rFonts w:cs="Arial"/>
              </w:rPr>
              <w:br w:type="page"/>
            </w:r>
            <w:r w:rsidRPr="00D96441">
              <w:rPr>
                <w:rStyle w:val="A2"/>
                <w:rFonts w:cs="Arial"/>
                <w:b/>
                <w:color w:val="0070C0"/>
                <w:szCs w:val="26"/>
              </w:rPr>
              <w:t>Developed by</w:t>
            </w: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</w:pPr>
            <w:bookmarkStart w:id="10" w:name="StartDevelopedBy"/>
            <w:bookmarkEnd w:id="10"/>
            <w:r>
              <w:t>Skills for Justice</w:t>
            </w:r>
          </w:p>
          <w:p w:rsidR="0049323C" w:rsidRPr="00CF4D98" w:rsidRDefault="0049323C" w:rsidP="001F6BF7">
            <w:pPr>
              <w:pStyle w:val="NOSBodyText"/>
            </w:pPr>
            <w:bookmarkStart w:id="11" w:name="EndDevelopedBy"/>
            <w:bookmarkEnd w:id="11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9406A9">
            <w:pPr>
              <w:pStyle w:val="NOSSideHeading"/>
              <w:rPr>
                <w:rFonts w:cs="Arial"/>
              </w:rPr>
            </w:pPr>
            <w:r w:rsidRPr="00DE4BD6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.6pt;margin-top:-2.65pt;width:509pt;height:0;z-index:251652608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cs="Arial"/>
                <w:b/>
                <w:color w:val="0070C0"/>
                <w:szCs w:val="26"/>
              </w:rPr>
              <w:t>Version number</w:t>
            </w: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12" w:name="StartVersion"/>
            <w:bookmarkEnd w:id="12"/>
            <w:r>
              <w:rPr>
                <w:color w:val="221E1F"/>
              </w:rPr>
              <w:t>1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13" w:name="EndVersion"/>
            <w:bookmarkEnd w:id="13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29" type="#_x0000_t32" style="position:absolute;margin-left:.6pt;margin-top:-2.65pt;width:509pt;height:0;z-index:251653632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Date approved</w:t>
            </w: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14" w:name="StartApproved"/>
            <w:bookmarkEnd w:id="14"/>
            <w:r>
              <w:rPr>
                <w:color w:val="221E1F"/>
              </w:rPr>
              <w:t>September 2008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15" w:name="EndApproved"/>
            <w:bookmarkEnd w:id="15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49323C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Style w:val="A2"/>
                <w:rFonts w:ascii="Arial" w:hAnsi="Arial" w:cs="Arial"/>
                <w:bCs/>
                <w:noProof/>
                <w:lang w:eastAsia="en-GB"/>
              </w:rPr>
            </w:pPr>
            <w:r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Indicative review date</w:t>
            </w:r>
            <w:r w:rsidR="00DE4BD6" w:rsidRPr="00DE4BD6">
              <w:rPr>
                <w:noProof/>
                <w:lang w:eastAsia="en-GB"/>
              </w:rPr>
              <w:pict>
                <v:shape id="_x0000_s1030" type="#_x0000_t32" style="position:absolute;margin-left:.6pt;margin-top:-2.65pt;width:509pt;height:0;z-index:251654656;mso-position-horizontal-relative:text;mso-position-vertical-relative:text" o:connectortype="straight" strokecolor="#0070c0" strokeweight="1pt"/>
              </w:pict>
            </w:r>
          </w:p>
          <w:p w:rsidR="0049323C" w:rsidRPr="00D96441" w:rsidRDefault="0049323C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</w:p>
        </w:tc>
        <w:tc>
          <w:tcPr>
            <w:tcW w:w="7902" w:type="dxa"/>
          </w:tcPr>
          <w:p w:rsidR="0049323C" w:rsidRDefault="00B05499" w:rsidP="00690067">
            <w:pPr>
              <w:pStyle w:val="NOSBodyText"/>
              <w:rPr>
                <w:rStyle w:val="A3"/>
              </w:rPr>
            </w:pPr>
            <w:bookmarkStart w:id="16" w:name="StartReview"/>
            <w:bookmarkEnd w:id="16"/>
            <w:r>
              <w:rPr>
                <w:rStyle w:val="A3"/>
              </w:rPr>
              <w:t>September 2013</w:t>
            </w:r>
          </w:p>
          <w:p w:rsidR="0049323C" w:rsidRPr="004E05F7" w:rsidRDefault="0049323C" w:rsidP="00690067">
            <w:pPr>
              <w:pStyle w:val="NOSBodyText"/>
              <w:rPr>
                <w:color w:val="221E1F"/>
              </w:rPr>
            </w:pPr>
            <w:bookmarkStart w:id="17" w:name="EndReview"/>
            <w:bookmarkEnd w:id="17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1" type="#_x0000_t32" style="position:absolute;margin-left:.6pt;margin-top:-2.65pt;width:509pt;height:0;z-index:251655680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Validity</w:t>
            </w:r>
          </w:p>
        </w:tc>
        <w:tc>
          <w:tcPr>
            <w:tcW w:w="7902" w:type="dxa"/>
          </w:tcPr>
          <w:p w:rsidR="0049323C" w:rsidRDefault="0049323C" w:rsidP="00690067">
            <w:pPr>
              <w:pStyle w:val="NOSBodyText"/>
              <w:rPr>
                <w:rStyle w:val="A3"/>
              </w:rPr>
            </w:pPr>
            <w:bookmarkStart w:id="18" w:name="StartValidity"/>
            <w:bookmarkEnd w:id="18"/>
            <w:r>
              <w:rPr>
                <w:rStyle w:val="A3"/>
              </w:rPr>
              <w:t>Current</w:t>
            </w:r>
          </w:p>
          <w:p w:rsidR="0049323C" w:rsidRPr="004E05F7" w:rsidRDefault="0049323C" w:rsidP="00690067">
            <w:pPr>
              <w:pStyle w:val="NOSBodyText"/>
              <w:rPr>
                <w:color w:val="221E1F"/>
              </w:rPr>
            </w:pPr>
            <w:bookmarkStart w:id="19" w:name="EndValidity"/>
            <w:bookmarkEnd w:id="19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2" type="#_x0000_t32" style="position:absolute;margin-left:.6pt;margin-top:-2.65pt;width:509pt;height:0;z-index:251656704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Status</w:t>
            </w: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20" w:name="StartStatus"/>
            <w:bookmarkEnd w:id="20"/>
            <w:r>
              <w:rPr>
                <w:color w:val="221E1F"/>
              </w:rPr>
              <w:t>Original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21" w:name="EndStatus"/>
            <w:bookmarkEnd w:id="21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Style w:val="A2"/>
                <w:rFonts w:ascii="Arial" w:hAnsi="Arial" w:cs="Arial"/>
                <w:bCs/>
                <w:noProof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3" type="#_x0000_t32" style="position:absolute;margin-left:.6pt;margin-top:-2.65pt;width:509pt;height:0;z-index:251662848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Originating organisation</w:t>
            </w:r>
            <w:r w:rsidRPr="00DE4BD6">
              <w:rPr>
                <w:noProof/>
                <w:lang w:eastAsia="en-GB"/>
              </w:rPr>
              <w:pict>
                <v:shape id="_x0000_s1034" type="#_x0000_t32" style="position:absolute;margin-left:.6pt;margin-top:-2.65pt;width:509pt;height:0;z-index:251657728;mso-position-horizontal-relative:text;mso-position-vertical-relative:text" o:connectortype="straight" strokecolor="#0070c0" strokeweight="1pt"/>
              </w:pict>
            </w:r>
          </w:p>
          <w:p w:rsidR="0049323C" w:rsidRPr="00D96441" w:rsidRDefault="0049323C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22" w:name="StartOrigin"/>
            <w:bookmarkEnd w:id="22"/>
            <w:r>
              <w:rPr>
                <w:color w:val="221E1F"/>
              </w:rPr>
              <w:t>Skills for Justice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23" w:name="EndOrigin"/>
            <w:bookmarkEnd w:id="23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5" type="#_x0000_t32" style="position:absolute;margin-left:.6pt;margin-top:28.15pt;width:509pt;height:0;z-index:251661824;mso-position-horizontal-relative:text;mso-position-vertical-relative:text" o:connectortype="straight" strokecolor="#0070c0" strokeweight="1pt"/>
              </w:pict>
            </w:r>
            <w:r w:rsidRPr="00DE4BD6">
              <w:rPr>
                <w:noProof/>
                <w:lang w:eastAsia="en-GB"/>
              </w:rPr>
              <w:pict>
                <v:shape id="_x0000_s1036" type="#_x0000_t32" style="position:absolute;margin-left:.6pt;margin-top:-2.65pt;width:509pt;height:0;z-index:251658752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Original URN</w:t>
            </w:r>
          </w:p>
        </w:tc>
        <w:tc>
          <w:tcPr>
            <w:tcW w:w="7902" w:type="dxa"/>
          </w:tcPr>
          <w:p w:rsidR="0049323C" w:rsidRDefault="00B05499" w:rsidP="001F6BF7">
            <w:pPr>
              <w:pStyle w:val="NOSBodyText"/>
              <w:rPr>
                <w:color w:val="221E1F"/>
              </w:rPr>
            </w:pPr>
            <w:bookmarkStart w:id="24" w:name="StartOriginURN"/>
            <w:bookmarkEnd w:id="24"/>
            <w:r>
              <w:rPr>
                <w:color w:val="221E1F"/>
              </w:rPr>
              <w:t>SF</w:t>
            </w:r>
            <w:r w:rsidR="0049323C">
              <w:rPr>
                <w:color w:val="221E1F"/>
              </w:rPr>
              <w:t>J CN201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25" w:name="EndOriginURN"/>
            <w:bookmarkEnd w:id="25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49323C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Style w:val="A2"/>
                <w:rFonts w:ascii="Arial" w:hAnsi="Arial" w:cs="Arial"/>
                <w:bCs/>
                <w:noProof/>
                <w:lang w:eastAsia="en-GB"/>
              </w:rPr>
            </w:pPr>
            <w:r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Relevant occupations</w:t>
            </w:r>
          </w:p>
          <w:p w:rsidR="0049323C" w:rsidRPr="00D96441" w:rsidRDefault="0049323C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26" w:name="StartOccupations"/>
            <w:bookmarkEnd w:id="26"/>
            <w:r>
              <w:rPr>
                <w:color w:val="221E1F"/>
              </w:rPr>
              <w:t>Public Services; Public Service and Other Associate Professionals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27" w:name="EndOccupations"/>
            <w:bookmarkEnd w:id="27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7" type="#_x0000_t32" style="position:absolute;margin-left:.6pt;margin-top:-2.65pt;width:509pt;height:0;z-index:251659776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Suite</w:t>
            </w:r>
          </w:p>
        </w:tc>
        <w:tc>
          <w:tcPr>
            <w:tcW w:w="7902" w:type="dxa"/>
          </w:tcPr>
          <w:p w:rsidR="0049323C" w:rsidRDefault="0049323C" w:rsidP="001F6BF7">
            <w:pPr>
              <w:pStyle w:val="NOSBodyText"/>
              <w:rPr>
                <w:color w:val="221E1F"/>
              </w:rPr>
            </w:pPr>
            <w:bookmarkStart w:id="28" w:name="StartSuite"/>
            <w:bookmarkEnd w:id="28"/>
            <w:r>
              <w:rPr>
                <w:color w:val="221E1F"/>
              </w:rPr>
              <w:t>Forensic Science</w:t>
            </w:r>
          </w:p>
          <w:p w:rsidR="0049323C" w:rsidRPr="004E05F7" w:rsidRDefault="0049323C" w:rsidP="001F6BF7">
            <w:pPr>
              <w:pStyle w:val="NOSBodyText"/>
              <w:rPr>
                <w:color w:val="221E1F"/>
              </w:rPr>
            </w:pPr>
            <w:bookmarkStart w:id="29" w:name="EndSuite"/>
            <w:bookmarkEnd w:id="29"/>
          </w:p>
        </w:tc>
      </w:tr>
      <w:tr w:rsidR="0049323C" w:rsidRPr="00CF4D98" w:rsidTr="00690067">
        <w:tc>
          <w:tcPr>
            <w:tcW w:w="2518" w:type="dxa"/>
          </w:tcPr>
          <w:p w:rsidR="0049323C" w:rsidRPr="00D96441" w:rsidRDefault="00DE4BD6" w:rsidP="00690067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noProof/>
                <w:color w:val="0078C1"/>
                <w:sz w:val="26"/>
                <w:lang w:eastAsia="en-GB"/>
              </w:rPr>
            </w:pPr>
            <w:r w:rsidRPr="00DE4BD6">
              <w:rPr>
                <w:noProof/>
                <w:lang w:eastAsia="en-GB"/>
              </w:rPr>
              <w:pict>
                <v:shape id="_x0000_s1038" type="#_x0000_t32" style="position:absolute;margin-left:.6pt;margin-top:-2.65pt;width:509pt;height:0;z-index:251660800;mso-position-horizontal-relative:text;mso-position-vertical-relative:text" o:connectortype="straight" strokecolor="#0070c0" strokeweight="1pt"/>
              </w:pict>
            </w:r>
            <w:r w:rsidR="0049323C" w:rsidRPr="00D96441">
              <w:rPr>
                <w:rStyle w:val="A2"/>
                <w:rFonts w:ascii="Arial" w:hAnsi="Arial" w:cs="Arial"/>
                <w:bCs/>
                <w:noProof/>
                <w:lang w:eastAsia="en-GB"/>
              </w:rPr>
              <w:t>Key words</w:t>
            </w:r>
          </w:p>
        </w:tc>
        <w:tc>
          <w:tcPr>
            <w:tcW w:w="7902" w:type="dxa"/>
          </w:tcPr>
          <w:p w:rsidR="0049323C" w:rsidRDefault="0049323C" w:rsidP="00690067">
            <w:pPr>
              <w:pStyle w:val="NOSBodyText"/>
              <w:rPr>
                <w:color w:val="221E1F"/>
              </w:rPr>
            </w:pPr>
            <w:bookmarkStart w:id="30" w:name="StartKeywords"/>
            <w:bookmarkEnd w:id="30"/>
            <w:r>
              <w:rPr>
                <w:color w:val="221E1F"/>
              </w:rPr>
              <w:t>Crime, examination, incident, justice, evidence</w:t>
            </w:r>
          </w:p>
          <w:p w:rsidR="0049323C" w:rsidRPr="004E05F7" w:rsidRDefault="0049323C" w:rsidP="00690067">
            <w:pPr>
              <w:pStyle w:val="NOSBodyText"/>
              <w:rPr>
                <w:color w:val="221E1F"/>
              </w:rPr>
            </w:pPr>
            <w:bookmarkStart w:id="31" w:name="EndKeywords"/>
            <w:bookmarkEnd w:id="31"/>
          </w:p>
        </w:tc>
      </w:tr>
    </w:tbl>
    <w:p w:rsidR="0049323C" w:rsidRDefault="0049323C" w:rsidP="0052780A"/>
    <w:sectPr w:rsidR="0049323C" w:rsidSect="005A42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991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3C" w:rsidRDefault="0049323C" w:rsidP="00521BFC">
      <w:r>
        <w:separator/>
      </w:r>
    </w:p>
  </w:endnote>
  <w:endnote w:type="continuationSeparator" w:id="0">
    <w:p w:rsidR="0049323C" w:rsidRDefault="0049323C" w:rsidP="00521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3C" w:rsidRPr="00D13FFB" w:rsidRDefault="00B05499" w:rsidP="009F7CB5">
    <w:pPr>
      <w:pStyle w:val="Footer"/>
      <w:tabs>
        <w:tab w:val="left" w:pos="1200"/>
        <w:tab w:val="right" w:pos="10206"/>
      </w:tabs>
      <w:rPr>
        <w:sz w:val="18"/>
        <w:szCs w:val="18"/>
      </w:rPr>
    </w:pPr>
    <w:r>
      <w:rPr>
        <w:rFonts w:ascii="Arial" w:hAnsi="Arial" w:cs="Arial"/>
        <w:sz w:val="14"/>
        <w:szCs w:val="14"/>
      </w:rPr>
      <w:t xml:space="preserve">SFJ CN201 </w:t>
    </w:r>
    <w:r w:rsidR="0049323C" w:rsidRPr="00D96441">
      <w:rPr>
        <w:rFonts w:ascii="Arial" w:hAnsi="Arial" w:cs="Arial"/>
        <w:sz w:val="14"/>
        <w:szCs w:val="14"/>
      </w:rPr>
      <w:t>Implement and review forensic strategy for investigations</w:t>
    </w:r>
    <w:r w:rsidR="0049323C">
      <w:rPr>
        <w:rFonts w:ascii="Arial" w:hAnsi="Arial" w:cs="Arial"/>
        <w:sz w:val="14"/>
        <w:szCs w:val="14"/>
      </w:rPr>
      <w:tab/>
    </w:r>
    <w:r w:rsidR="0049323C">
      <w:rPr>
        <w:sz w:val="18"/>
        <w:szCs w:val="18"/>
      </w:rPr>
      <w:tab/>
    </w:r>
    <w:r w:rsidR="0049323C">
      <w:rPr>
        <w:sz w:val="18"/>
        <w:szCs w:val="18"/>
      </w:rPr>
      <w:tab/>
    </w:r>
    <w:r w:rsidR="00DE4BD6" w:rsidRPr="008C0064">
      <w:rPr>
        <w:rFonts w:ascii="Arial" w:hAnsi="Arial" w:cs="Arial"/>
        <w:sz w:val="14"/>
        <w:szCs w:val="14"/>
      </w:rPr>
      <w:fldChar w:fldCharType="begin"/>
    </w:r>
    <w:r w:rsidR="0049323C" w:rsidRPr="008C0064">
      <w:rPr>
        <w:rFonts w:ascii="Arial" w:hAnsi="Arial" w:cs="Arial"/>
        <w:sz w:val="14"/>
        <w:szCs w:val="14"/>
      </w:rPr>
      <w:instrText xml:space="preserve"> PAGE   \* MERGEFORMAT </w:instrText>
    </w:r>
    <w:r w:rsidR="00DE4BD6" w:rsidRPr="008C0064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 w:rsidR="00DE4BD6" w:rsidRPr="008C0064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3C" w:rsidRPr="0086259F" w:rsidRDefault="00B05499" w:rsidP="0086259F">
    <w:pPr>
      <w:pStyle w:val="Footer"/>
      <w:tabs>
        <w:tab w:val="left" w:pos="1200"/>
        <w:tab w:val="right" w:pos="10206"/>
      </w:tabs>
      <w:rPr>
        <w:sz w:val="18"/>
        <w:szCs w:val="18"/>
      </w:rPr>
    </w:pPr>
    <w:r>
      <w:rPr>
        <w:rFonts w:ascii="Arial" w:hAnsi="Arial" w:cs="Arial"/>
        <w:sz w:val="14"/>
        <w:szCs w:val="14"/>
      </w:rPr>
      <w:t>SFJ CN201</w:t>
    </w:r>
    <w:r w:rsidR="0049323C" w:rsidRPr="00D96441">
      <w:rPr>
        <w:rFonts w:ascii="Arial" w:hAnsi="Arial" w:cs="Arial"/>
        <w:sz w:val="14"/>
        <w:szCs w:val="14"/>
      </w:rPr>
      <w:t>Implement and review forensic strategy for investigations</w:t>
    </w:r>
    <w:r w:rsidR="0049323C">
      <w:rPr>
        <w:rFonts w:ascii="Arial" w:hAnsi="Arial" w:cs="Arial"/>
        <w:sz w:val="14"/>
        <w:szCs w:val="14"/>
      </w:rPr>
      <w:tab/>
    </w:r>
    <w:r w:rsidR="0049323C">
      <w:rPr>
        <w:sz w:val="18"/>
        <w:szCs w:val="18"/>
      </w:rPr>
      <w:tab/>
    </w:r>
    <w:r w:rsidR="0049323C">
      <w:rPr>
        <w:sz w:val="18"/>
        <w:szCs w:val="18"/>
      </w:rPr>
      <w:tab/>
    </w:r>
    <w:r w:rsidR="00DE4BD6" w:rsidRPr="008C0064">
      <w:rPr>
        <w:rFonts w:ascii="Arial" w:hAnsi="Arial" w:cs="Arial"/>
        <w:sz w:val="14"/>
        <w:szCs w:val="14"/>
      </w:rPr>
      <w:fldChar w:fldCharType="begin"/>
    </w:r>
    <w:r w:rsidR="0049323C" w:rsidRPr="008C0064">
      <w:rPr>
        <w:rFonts w:ascii="Arial" w:hAnsi="Arial" w:cs="Arial"/>
        <w:sz w:val="14"/>
        <w:szCs w:val="14"/>
      </w:rPr>
      <w:instrText xml:space="preserve"> PAGE   \* MERGEFORMAT </w:instrText>
    </w:r>
    <w:r w:rsidR="00DE4BD6" w:rsidRPr="008C0064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="00DE4BD6" w:rsidRPr="008C0064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3C" w:rsidRDefault="0049323C" w:rsidP="00521BFC">
      <w:r>
        <w:separator/>
      </w:r>
    </w:p>
  </w:footnote>
  <w:footnote w:type="continuationSeparator" w:id="0">
    <w:p w:rsidR="0049323C" w:rsidRDefault="0049323C" w:rsidP="00521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3C" w:rsidRPr="003C6D88" w:rsidRDefault="00DE4BD6" w:rsidP="002063F2">
    <w:pPr>
      <w:tabs>
        <w:tab w:val="left" w:pos="7140"/>
      </w:tabs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6pt;margin-top:65pt;width:509pt;height:0;z-index:251658240" o:connectortype="straight" strokecolor="#0070c0" strokeweight="1pt"/>
      </w:pict>
    </w:r>
    <w:r w:rsidR="00B05499">
      <w:rPr>
        <w:rFonts w:ascii="Arial" w:hAnsi="Arial" w:cs="Arial"/>
        <w:b/>
        <w:noProof/>
        <w:sz w:val="32"/>
        <w:szCs w:val="32"/>
      </w:rPr>
      <w:t>SFJ CN201</w:t>
    </w:r>
    <w:r w:rsidR="0049323C" w:rsidRPr="003C6D88">
      <w:rPr>
        <w:rFonts w:cs="Courier New"/>
        <w:noProof/>
        <w:sz w:val="32"/>
        <w:szCs w:val="32"/>
      </w:rPr>
      <w:br/>
    </w:r>
    <w:r w:rsidR="0049323C">
      <w:rPr>
        <w:rFonts w:ascii="Arial" w:hAnsi="Arial" w:cs="Arial"/>
        <w:noProof/>
        <w:sz w:val="32"/>
        <w:szCs w:val="32"/>
      </w:rPr>
      <w:t>Implement and review forensic strategy for investigations</w:t>
    </w:r>
    <w:r w:rsidR="0049323C">
      <w:rPr>
        <w:rFonts w:cs="Courier New"/>
        <w:noProof/>
        <w:sz w:val="32"/>
        <w:szCs w:val="32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2" w:type="dxa"/>
      <w:tblLook w:val="00A0"/>
    </w:tblPr>
    <w:tblGrid>
      <w:gridCol w:w="7616"/>
      <w:gridCol w:w="2616"/>
    </w:tblGrid>
    <w:tr w:rsidR="0049323C" w:rsidTr="003B245A">
      <w:trPr>
        <w:cantSplit/>
        <w:trHeight w:val="1065"/>
      </w:trPr>
      <w:tc>
        <w:tcPr>
          <w:tcW w:w="7616" w:type="dxa"/>
        </w:tcPr>
        <w:p w:rsidR="0049323C" w:rsidRPr="003B245A" w:rsidRDefault="00B05499" w:rsidP="003B245A">
          <w:pPr>
            <w:pStyle w:val="Header"/>
            <w:spacing w:after="0" w:line="240" w:lineRule="auto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SFJ CN201</w:t>
          </w:r>
        </w:p>
        <w:p w:rsidR="0049323C" w:rsidRPr="003B245A" w:rsidRDefault="0049323C" w:rsidP="003B245A">
          <w:pPr>
            <w:pStyle w:val="Header"/>
            <w:spacing w:after="0" w:line="240" w:lineRule="auto"/>
            <w:rPr>
              <w:rFonts w:ascii="Arial" w:hAnsi="Arial" w:cs="Arial"/>
            </w:rPr>
          </w:pPr>
          <w:r w:rsidRPr="003B245A">
            <w:rPr>
              <w:rFonts w:ascii="Arial" w:hAnsi="Arial" w:cs="Arial"/>
              <w:sz w:val="32"/>
              <w:szCs w:val="32"/>
            </w:rPr>
            <w:t>Implement and review forensic strategy for investigations</w:t>
          </w:r>
        </w:p>
      </w:tc>
      <w:tc>
        <w:tcPr>
          <w:tcW w:w="2616" w:type="dxa"/>
        </w:tcPr>
        <w:p w:rsidR="0049323C" w:rsidRDefault="00DE4BD6" w:rsidP="003B245A">
          <w:pPr>
            <w:pStyle w:val="Header"/>
            <w:spacing w:after="0" w:line="240" w:lineRule="auto"/>
            <w:jc w:val="right"/>
          </w:pPr>
          <w:r w:rsidRPr="00DE4BD6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NOS.PNG" style="width:117.75pt;height:64.5pt;visibility:visible">
                <v:imagedata r:id="rId1" o:title=""/>
              </v:shape>
            </w:pict>
          </w:r>
        </w:p>
      </w:tc>
    </w:tr>
  </w:tbl>
  <w:p w:rsidR="0049323C" w:rsidRPr="009A1F82" w:rsidRDefault="00DE4BD6" w:rsidP="009A1F82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95pt;margin-top:22.5pt;width:509pt;height:0;z-index:251657216;mso-position-horizontal-relative:text;mso-position-vertical-relative:text" o:connectortype="straight" strokecolor="#0070c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E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EC0411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0812E8A"/>
    <w:multiLevelType w:val="hybridMultilevel"/>
    <w:tmpl w:val="2192623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88508A"/>
    <w:multiLevelType w:val="multilevel"/>
    <w:tmpl w:val="E94A4A78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CC51721"/>
    <w:multiLevelType w:val="multilevel"/>
    <w:tmpl w:val="C0FC220C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454E01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B12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1AE45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7769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64646A9"/>
    <w:multiLevelType w:val="hybridMultilevel"/>
    <w:tmpl w:val="E42E3CA6"/>
    <w:lvl w:ilvl="0" w:tplc="E1BA3D6C">
      <w:start w:val="1"/>
      <w:numFmt w:val="decimal"/>
      <w:pStyle w:val="NOSNumberList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73212B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D7D02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14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11"/>
  </w:num>
  <w:num w:numId="12">
    <w:abstractNumId w:val="8"/>
  </w:num>
  <w:num w:numId="13">
    <w:abstractNumId w:val="3"/>
  </w:num>
  <w:num w:numId="14">
    <w:abstractNumId w:val="10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89C"/>
    <w:rsid w:val="00000A1D"/>
    <w:rsid w:val="00004E0E"/>
    <w:rsid w:val="00006091"/>
    <w:rsid w:val="000063C8"/>
    <w:rsid w:val="000076D9"/>
    <w:rsid w:val="00013E41"/>
    <w:rsid w:val="0001420A"/>
    <w:rsid w:val="00015A73"/>
    <w:rsid w:val="00016B9A"/>
    <w:rsid w:val="0002195A"/>
    <w:rsid w:val="00035310"/>
    <w:rsid w:val="0003593E"/>
    <w:rsid w:val="0004792D"/>
    <w:rsid w:val="00051B82"/>
    <w:rsid w:val="000556CF"/>
    <w:rsid w:val="00066CD2"/>
    <w:rsid w:val="00072633"/>
    <w:rsid w:val="00074A5D"/>
    <w:rsid w:val="00074FC4"/>
    <w:rsid w:val="00077B79"/>
    <w:rsid w:val="00084043"/>
    <w:rsid w:val="00085418"/>
    <w:rsid w:val="000867C6"/>
    <w:rsid w:val="00090C19"/>
    <w:rsid w:val="00093E71"/>
    <w:rsid w:val="00096244"/>
    <w:rsid w:val="00096378"/>
    <w:rsid w:val="000A2920"/>
    <w:rsid w:val="000A3533"/>
    <w:rsid w:val="000A5804"/>
    <w:rsid w:val="000B1EFD"/>
    <w:rsid w:val="000B6D40"/>
    <w:rsid w:val="000D02F1"/>
    <w:rsid w:val="000D38DB"/>
    <w:rsid w:val="000E0A1D"/>
    <w:rsid w:val="000E1A7E"/>
    <w:rsid w:val="0010370F"/>
    <w:rsid w:val="0010479B"/>
    <w:rsid w:val="001103C6"/>
    <w:rsid w:val="00115544"/>
    <w:rsid w:val="0013639C"/>
    <w:rsid w:val="0014179C"/>
    <w:rsid w:val="0016238F"/>
    <w:rsid w:val="001634E2"/>
    <w:rsid w:val="001712E5"/>
    <w:rsid w:val="00173AEB"/>
    <w:rsid w:val="00176E82"/>
    <w:rsid w:val="00181052"/>
    <w:rsid w:val="00185673"/>
    <w:rsid w:val="00194432"/>
    <w:rsid w:val="001A306E"/>
    <w:rsid w:val="001B06EE"/>
    <w:rsid w:val="001B0A7B"/>
    <w:rsid w:val="001B0BA6"/>
    <w:rsid w:val="001B27F0"/>
    <w:rsid w:val="001B31A1"/>
    <w:rsid w:val="001B7A7F"/>
    <w:rsid w:val="001C2FB9"/>
    <w:rsid w:val="001C52C2"/>
    <w:rsid w:val="001D17C9"/>
    <w:rsid w:val="001D5001"/>
    <w:rsid w:val="001E0471"/>
    <w:rsid w:val="001E350B"/>
    <w:rsid w:val="001E4482"/>
    <w:rsid w:val="001E75AC"/>
    <w:rsid w:val="001F09E6"/>
    <w:rsid w:val="001F55F5"/>
    <w:rsid w:val="001F6BF7"/>
    <w:rsid w:val="002063F2"/>
    <w:rsid w:val="00210CE3"/>
    <w:rsid w:val="00212B2D"/>
    <w:rsid w:val="002143B8"/>
    <w:rsid w:val="0021511C"/>
    <w:rsid w:val="00222188"/>
    <w:rsid w:val="002229B0"/>
    <w:rsid w:val="00224BC7"/>
    <w:rsid w:val="0024080B"/>
    <w:rsid w:val="002427F4"/>
    <w:rsid w:val="0025664D"/>
    <w:rsid w:val="00262F5D"/>
    <w:rsid w:val="00270B1B"/>
    <w:rsid w:val="002774F2"/>
    <w:rsid w:val="002A4C5F"/>
    <w:rsid w:val="002B1E39"/>
    <w:rsid w:val="002B42E5"/>
    <w:rsid w:val="002B5343"/>
    <w:rsid w:val="002C069C"/>
    <w:rsid w:val="002C10D9"/>
    <w:rsid w:val="002C5190"/>
    <w:rsid w:val="002D1E76"/>
    <w:rsid w:val="002E1D23"/>
    <w:rsid w:val="002E36E7"/>
    <w:rsid w:val="002E3E75"/>
    <w:rsid w:val="002F4B2F"/>
    <w:rsid w:val="002F606F"/>
    <w:rsid w:val="002F647D"/>
    <w:rsid w:val="00303FD8"/>
    <w:rsid w:val="003053CA"/>
    <w:rsid w:val="00310CA1"/>
    <w:rsid w:val="00320442"/>
    <w:rsid w:val="003319D1"/>
    <w:rsid w:val="00345B06"/>
    <w:rsid w:val="003521D1"/>
    <w:rsid w:val="0036118B"/>
    <w:rsid w:val="003722CD"/>
    <w:rsid w:val="00377DED"/>
    <w:rsid w:val="00380447"/>
    <w:rsid w:val="00387C8A"/>
    <w:rsid w:val="003B245A"/>
    <w:rsid w:val="003B7932"/>
    <w:rsid w:val="003C29E8"/>
    <w:rsid w:val="003C4768"/>
    <w:rsid w:val="003C6D88"/>
    <w:rsid w:val="003D3486"/>
    <w:rsid w:val="003D524D"/>
    <w:rsid w:val="003D7EF3"/>
    <w:rsid w:val="003E2694"/>
    <w:rsid w:val="003F7686"/>
    <w:rsid w:val="00401539"/>
    <w:rsid w:val="004103D1"/>
    <w:rsid w:val="0041273C"/>
    <w:rsid w:val="00414C13"/>
    <w:rsid w:val="004156D8"/>
    <w:rsid w:val="004228B1"/>
    <w:rsid w:val="004304DF"/>
    <w:rsid w:val="00431135"/>
    <w:rsid w:val="00431CA1"/>
    <w:rsid w:val="004322D1"/>
    <w:rsid w:val="004323FE"/>
    <w:rsid w:val="00436586"/>
    <w:rsid w:val="004375BF"/>
    <w:rsid w:val="00447016"/>
    <w:rsid w:val="00451CC3"/>
    <w:rsid w:val="00467D6A"/>
    <w:rsid w:val="00474BDB"/>
    <w:rsid w:val="004901D8"/>
    <w:rsid w:val="00491F62"/>
    <w:rsid w:val="0049323C"/>
    <w:rsid w:val="004971C9"/>
    <w:rsid w:val="00497C87"/>
    <w:rsid w:val="004A57E2"/>
    <w:rsid w:val="004B12F4"/>
    <w:rsid w:val="004B1702"/>
    <w:rsid w:val="004D08DE"/>
    <w:rsid w:val="004D0EEB"/>
    <w:rsid w:val="004D1F3B"/>
    <w:rsid w:val="004D6960"/>
    <w:rsid w:val="004E05F7"/>
    <w:rsid w:val="004E21DC"/>
    <w:rsid w:val="0050084C"/>
    <w:rsid w:val="005027E6"/>
    <w:rsid w:val="0050359E"/>
    <w:rsid w:val="00515426"/>
    <w:rsid w:val="00521BFC"/>
    <w:rsid w:val="0052780A"/>
    <w:rsid w:val="00540315"/>
    <w:rsid w:val="00540609"/>
    <w:rsid w:val="005432E5"/>
    <w:rsid w:val="00545BAC"/>
    <w:rsid w:val="00550971"/>
    <w:rsid w:val="00556342"/>
    <w:rsid w:val="00563BF7"/>
    <w:rsid w:val="005833E2"/>
    <w:rsid w:val="005A4236"/>
    <w:rsid w:val="005B01E9"/>
    <w:rsid w:val="005C618B"/>
    <w:rsid w:val="005E09C4"/>
    <w:rsid w:val="005E6FAE"/>
    <w:rsid w:val="005F58C2"/>
    <w:rsid w:val="005F58DE"/>
    <w:rsid w:val="005F7364"/>
    <w:rsid w:val="005F7445"/>
    <w:rsid w:val="005F7944"/>
    <w:rsid w:val="006043DF"/>
    <w:rsid w:val="006075B5"/>
    <w:rsid w:val="00607653"/>
    <w:rsid w:val="00607D56"/>
    <w:rsid w:val="00610303"/>
    <w:rsid w:val="006145C8"/>
    <w:rsid w:val="00621F6A"/>
    <w:rsid w:val="006229C7"/>
    <w:rsid w:val="00623C04"/>
    <w:rsid w:val="0063089C"/>
    <w:rsid w:val="00635CF3"/>
    <w:rsid w:val="00637642"/>
    <w:rsid w:val="00647493"/>
    <w:rsid w:val="006505B2"/>
    <w:rsid w:val="00651EC4"/>
    <w:rsid w:val="0066162E"/>
    <w:rsid w:val="006714C6"/>
    <w:rsid w:val="00672A79"/>
    <w:rsid w:val="00673383"/>
    <w:rsid w:val="00683429"/>
    <w:rsid w:val="00685DDB"/>
    <w:rsid w:val="00687545"/>
    <w:rsid w:val="00690067"/>
    <w:rsid w:val="00692FE1"/>
    <w:rsid w:val="00694A3C"/>
    <w:rsid w:val="006A129C"/>
    <w:rsid w:val="006A61E1"/>
    <w:rsid w:val="006B2227"/>
    <w:rsid w:val="006B3200"/>
    <w:rsid w:val="006B4495"/>
    <w:rsid w:val="006B5E38"/>
    <w:rsid w:val="006C2574"/>
    <w:rsid w:val="006D03D8"/>
    <w:rsid w:val="006E0E81"/>
    <w:rsid w:val="006E35D0"/>
    <w:rsid w:val="006F0706"/>
    <w:rsid w:val="006F3CA8"/>
    <w:rsid w:val="006F7FA4"/>
    <w:rsid w:val="007017D1"/>
    <w:rsid w:val="00713966"/>
    <w:rsid w:val="007156AF"/>
    <w:rsid w:val="00715D93"/>
    <w:rsid w:val="00724E04"/>
    <w:rsid w:val="00726306"/>
    <w:rsid w:val="00742745"/>
    <w:rsid w:val="00753242"/>
    <w:rsid w:val="007566CD"/>
    <w:rsid w:val="007613C5"/>
    <w:rsid w:val="00762896"/>
    <w:rsid w:val="00762E29"/>
    <w:rsid w:val="0078042E"/>
    <w:rsid w:val="00780EAB"/>
    <w:rsid w:val="00785D30"/>
    <w:rsid w:val="00791C53"/>
    <w:rsid w:val="007A13ED"/>
    <w:rsid w:val="007B0672"/>
    <w:rsid w:val="007C232F"/>
    <w:rsid w:val="007C4E89"/>
    <w:rsid w:val="007C7DC5"/>
    <w:rsid w:val="007D3CB0"/>
    <w:rsid w:val="007D52B7"/>
    <w:rsid w:val="007E7D16"/>
    <w:rsid w:val="00806386"/>
    <w:rsid w:val="0082306F"/>
    <w:rsid w:val="00823628"/>
    <w:rsid w:val="0084302D"/>
    <w:rsid w:val="00847EA7"/>
    <w:rsid w:val="00860755"/>
    <w:rsid w:val="008616C3"/>
    <w:rsid w:val="0086259F"/>
    <w:rsid w:val="00862792"/>
    <w:rsid w:val="008642AB"/>
    <w:rsid w:val="00866606"/>
    <w:rsid w:val="008829A1"/>
    <w:rsid w:val="00886A13"/>
    <w:rsid w:val="0089143B"/>
    <w:rsid w:val="00892883"/>
    <w:rsid w:val="008961DA"/>
    <w:rsid w:val="008A2610"/>
    <w:rsid w:val="008A4462"/>
    <w:rsid w:val="008A4E8E"/>
    <w:rsid w:val="008B04B4"/>
    <w:rsid w:val="008B21FF"/>
    <w:rsid w:val="008B3E91"/>
    <w:rsid w:val="008B472C"/>
    <w:rsid w:val="008C0064"/>
    <w:rsid w:val="008F0789"/>
    <w:rsid w:val="00901FEF"/>
    <w:rsid w:val="0090468B"/>
    <w:rsid w:val="0090729C"/>
    <w:rsid w:val="0091573A"/>
    <w:rsid w:val="00926F31"/>
    <w:rsid w:val="009406A9"/>
    <w:rsid w:val="009413C7"/>
    <w:rsid w:val="0094762A"/>
    <w:rsid w:val="009507C1"/>
    <w:rsid w:val="009524C5"/>
    <w:rsid w:val="00957D1B"/>
    <w:rsid w:val="00964343"/>
    <w:rsid w:val="009648B9"/>
    <w:rsid w:val="00965C13"/>
    <w:rsid w:val="00967459"/>
    <w:rsid w:val="00970FA0"/>
    <w:rsid w:val="00974A9C"/>
    <w:rsid w:val="009759E7"/>
    <w:rsid w:val="00987F3E"/>
    <w:rsid w:val="009966D8"/>
    <w:rsid w:val="009A1F82"/>
    <w:rsid w:val="009B3DAA"/>
    <w:rsid w:val="009C3304"/>
    <w:rsid w:val="009C3949"/>
    <w:rsid w:val="009D063D"/>
    <w:rsid w:val="009D20A6"/>
    <w:rsid w:val="009D3E57"/>
    <w:rsid w:val="009E742F"/>
    <w:rsid w:val="009F1381"/>
    <w:rsid w:val="009F5881"/>
    <w:rsid w:val="009F7CB5"/>
    <w:rsid w:val="00A10E28"/>
    <w:rsid w:val="00A125F1"/>
    <w:rsid w:val="00A13C08"/>
    <w:rsid w:val="00A25B33"/>
    <w:rsid w:val="00A31CA6"/>
    <w:rsid w:val="00A560A0"/>
    <w:rsid w:val="00A664B3"/>
    <w:rsid w:val="00A73B2E"/>
    <w:rsid w:val="00A910A6"/>
    <w:rsid w:val="00A92263"/>
    <w:rsid w:val="00A92AB5"/>
    <w:rsid w:val="00A9731F"/>
    <w:rsid w:val="00AA411C"/>
    <w:rsid w:val="00AB493E"/>
    <w:rsid w:val="00AB7B1B"/>
    <w:rsid w:val="00AC5EE5"/>
    <w:rsid w:val="00AE57EF"/>
    <w:rsid w:val="00B05499"/>
    <w:rsid w:val="00B15A0B"/>
    <w:rsid w:val="00B165CE"/>
    <w:rsid w:val="00B4020E"/>
    <w:rsid w:val="00B51DAF"/>
    <w:rsid w:val="00B5446B"/>
    <w:rsid w:val="00B652FB"/>
    <w:rsid w:val="00B73F65"/>
    <w:rsid w:val="00B82F94"/>
    <w:rsid w:val="00B9514C"/>
    <w:rsid w:val="00BA174C"/>
    <w:rsid w:val="00BA2445"/>
    <w:rsid w:val="00BB6021"/>
    <w:rsid w:val="00BC5E81"/>
    <w:rsid w:val="00BE436E"/>
    <w:rsid w:val="00BF663F"/>
    <w:rsid w:val="00C077DD"/>
    <w:rsid w:val="00C12BFA"/>
    <w:rsid w:val="00C20B78"/>
    <w:rsid w:val="00C241A2"/>
    <w:rsid w:val="00C2528F"/>
    <w:rsid w:val="00C327DC"/>
    <w:rsid w:val="00C372A8"/>
    <w:rsid w:val="00C617B3"/>
    <w:rsid w:val="00C717B8"/>
    <w:rsid w:val="00C73990"/>
    <w:rsid w:val="00C758AA"/>
    <w:rsid w:val="00C77C64"/>
    <w:rsid w:val="00C80E62"/>
    <w:rsid w:val="00C92654"/>
    <w:rsid w:val="00C94311"/>
    <w:rsid w:val="00CA0B7E"/>
    <w:rsid w:val="00CA0BEC"/>
    <w:rsid w:val="00CA3700"/>
    <w:rsid w:val="00CC2785"/>
    <w:rsid w:val="00CF4D98"/>
    <w:rsid w:val="00D03896"/>
    <w:rsid w:val="00D07E49"/>
    <w:rsid w:val="00D13FFB"/>
    <w:rsid w:val="00D15081"/>
    <w:rsid w:val="00D27CC8"/>
    <w:rsid w:val="00D33BD9"/>
    <w:rsid w:val="00D50956"/>
    <w:rsid w:val="00D646F9"/>
    <w:rsid w:val="00D762B7"/>
    <w:rsid w:val="00D9240E"/>
    <w:rsid w:val="00D945AE"/>
    <w:rsid w:val="00D96441"/>
    <w:rsid w:val="00DA0020"/>
    <w:rsid w:val="00DB1A9E"/>
    <w:rsid w:val="00DB2AA3"/>
    <w:rsid w:val="00DC076C"/>
    <w:rsid w:val="00DC2A28"/>
    <w:rsid w:val="00DD4972"/>
    <w:rsid w:val="00DD6775"/>
    <w:rsid w:val="00DD7399"/>
    <w:rsid w:val="00DE2894"/>
    <w:rsid w:val="00DE4BD6"/>
    <w:rsid w:val="00DE55C1"/>
    <w:rsid w:val="00DF1DEF"/>
    <w:rsid w:val="00DF4BC7"/>
    <w:rsid w:val="00DF70EE"/>
    <w:rsid w:val="00E01504"/>
    <w:rsid w:val="00E06A72"/>
    <w:rsid w:val="00E1299D"/>
    <w:rsid w:val="00E2189F"/>
    <w:rsid w:val="00E23877"/>
    <w:rsid w:val="00E27661"/>
    <w:rsid w:val="00E30B15"/>
    <w:rsid w:val="00E569AA"/>
    <w:rsid w:val="00E61049"/>
    <w:rsid w:val="00E664BC"/>
    <w:rsid w:val="00E66529"/>
    <w:rsid w:val="00E80A62"/>
    <w:rsid w:val="00EB34D2"/>
    <w:rsid w:val="00EB50D3"/>
    <w:rsid w:val="00EC19B3"/>
    <w:rsid w:val="00EC1AA4"/>
    <w:rsid w:val="00EC53C2"/>
    <w:rsid w:val="00EC71A9"/>
    <w:rsid w:val="00EC7B0A"/>
    <w:rsid w:val="00ED4338"/>
    <w:rsid w:val="00EE5D4B"/>
    <w:rsid w:val="00EF388F"/>
    <w:rsid w:val="00F02CCD"/>
    <w:rsid w:val="00F129CF"/>
    <w:rsid w:val="00F152BB"/>
    <w:rsid w:val="00F2327D"/>
    <w:rsid w:val="00F25CCF"/>
    <w:rsid w:val="00F2717E"/>
    <w:rsid w:val="00F307E2"/>
    <w:rsid w:val="00F353EE"/>
    <w:rsid w:val="00F404FC"/>
    <w:rsid w:val="00F4296C"/>
    <w:rsid w:val="00F45010"/>
    <w:rsid w:val="00F45348"/>
    <w:rsid w:val="00F656FD"/>
    <w:rsid w:val="00F72712"/>
    <w:rsid w:val="00F75610"/>
    <w:rsid w:val="00F83C96"/>
    <w:rsid w:val="00F840BE"/>
    <w:rsid w:val="00F90C6C"/>
    <w:rsid w:val="00F90E29"/>
    <w:rsid w:val="00F96AF3"/>
    <w:rsid w:val="00FA164F"/>
    <w:rsid w:val="00FB3A0A"/>
    <w:rsid w:val="00FB6FAF"/>
    <w:rsid w:val="00FB7C0B"/>
    <w:rsid w:val="00FB7E70"/>
    <w:rsid w:val="00FC2345"/>
    <w:rsid w:val="00FC6F60"/>
    <w:rsid w:val="00FD0954"/>
    <w:rsid w:val="00FD64FB"/>
    <w:rsid w:val="00FD7584"/>
    <w:rsid w:val="00FD759E"/>
    <w:rsid w:val="00FD775F"/>
    <w:rsid w:val="00FE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972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544"/>
    <w:pPr>
      <w:keepNext/>
      <w:keepLines/>
      <w:spacing w:before="22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4972"/>
    <w:rPr>
      <w:rFonts w:ascii="Arial" w:hAnsi="Arial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5544"/>
    <w:rPr>
      <w:rFonts w:ascii="Arial" w:hAnsi="Arial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115544"/>
    <w:rPr>
      <w:rFonts w:ascii="Arial" w:hAnsi="Arial"/>
      <w:lang w:eastAsia="en-US"/>
    </w:rPr>
  </w:style>
  <w:style w:type="paragraph" w:customStyle="1" w:styleId="Numbered">
    <w:name w:val="Numbered"/>
    <w:basedOn w:val="Normal"/>
    <w:uiPriority w:val="99"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uiPriority w:val="99"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rsid w:val="00521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1BF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521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BFC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1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uiPriority w:val="99"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99"/>
    <w:qFormat/>
    <w:rsid w:val="00451CC3"/>
    <w:pPr>
      <w:spacing w:after="240"/>
    </w:pPr>
    <w:rPr>
      <w:bCs/>
      <w:iCs/>
      <w:noProof/>
      <w:lang w:eastAsia="en-GB"/>
    </w:rPr>
  </w:style>
  <w:style w:type="character" w:customStyle="1" w:styleId="IntenseQuoteChar">
    <w:name w:val="Intense Quote Char"/>
    <w:aliases w:val="TopicInfo Char"/>
    <w:basedOn w:val="DefaultParagraphFont"/>
    <w:link w:val="IntenseQuote"/>
    <w:uiPriority w:val="99"/>
    <w:locked/>
    <w:rsid w:val="00451CC3"/>
    <w:rPr>
      <w:rFonts w:ascii="Arial" w:hAnsi="Arial" w:cs="Times New Roman"/>
      <w:bCs/>
      <w:iCs/>
      <w:noProof/>
      <w:lang w:val="en-GB" w:eastAsia="en-GB" w:bidi="ar-SA"/>
    </w:rPr>
  </w:style>
  <w:style w:type="paragraph" w:customStyle="1" w:styleId="NOSSideHeading">
    <w:name w:val="NOS Side Heading"/>
    <w:basedOn w:val="Normal"/>
    <w:uiPriority w:val="99"/>
    <w:rsid w:val="0063089C"/>
    <w:pPr>
      <w:spacing w:after="0" w:line="240" w:lineRule="auto"/>
    </w:pPr>
    <w:rPr>
      <w:rFonts w:ascii="Arial" w:hAnsi="Arial"/>
      <w:b/>
      <w:noProof/>
      <w:color w:val="0070C0"/>
      <w:sz w:val="26"/>
      <w:lang w:eastAsia="en-GB"/>
    </w:rPr>
  </w:style>
  <w:style w:type="paragraph" w:customStyle="1" w:styleId="NOSBodyText">
    <w:name w:val="NOS Body Text"/>
    <w:basedOn w:val="Normal"/>
    <w:uiPriority w:val="99"/>
    <w:rsid w:val="0063089C"/>
    <w:pPr>
      <w:spacing w:after="0" w:line="300" w:lineRule="exact"/>
    </w:pPr>
    <w:rPr>
      <w:rFonts w:ascii="Arial" w:hAnsi="Arial"/>
    </w:rPr>
  </w:style>
  <w:style w:type="character" w:customStyle="1" w:styleId="A3">
    <w:name w:val="A3"/>
    <w:uiPriority w:val="99"/>
    <w:rsid w:val="0063089C"/>
    <w:rPr>
      <w:color w:val="221E1F"/>
      <w:sz w:val="22"/>
    </w:rPr>
  </w:style>
  <w:style w:type="paragraph" w:customStyle="1" w:styleId="NOSBodyHeading">
    <w:name w:val="NOS Body Heading"/>
    <w:basedOn w:val="NOSBodyText"/>
    <w:uiPriority w:val="99"/>
    <w:rsid w:val="0052780A"/>
    <w:rPr>
      <w:b/>
    </w:rPr>
  </w:style>
  <w:style w:type="paragraph" w:customStyle="1" w:styleId="NOSNumberList">
    <w:name w:val="NOS Number List"/>
    <w:basedOn w:val="NOSBodyText"/>
    <w:uiPriority w:val="99"/>
    <w:rsid w:val="0052780A"/>
    <w:pPr>
      <w:numPr>
        <w:numId w:val="6"/>
      </w:numPr>
      <w:ind w:left="567" w:hanging="567"/>
    </w:pPr>
  </w:style>
  <w:style w:type="paragraph" w:customStyle="1" w:styleId="NOSSideSubHeading">
    <w:name w:val="NOS Side Sub Heading"/>
    <w:basedOn w:val="NOSSideHeading"/>
    <w:uiPriority w:val="99"/>
    <w:rsid w:val="0052780A"/>
    <w:pPr>
      <w:spacing w:line="300" w:lineRule="exact"/>
    </w:pPr>
    <w:rPr>
      <w:b w:val="0"/>
      <w:i/>
      <w:sz w:val="22"/>
    </w:rPr>
  </w:style>
  <w:style w:type="paragraph" w:customStyle="1" w:styleId="Pa3">
    <w:name w:val="Pa3"/>
    <w:basedOn w:val="Normal"/>
    <w:next w:val="Normal"/>
    <w:uiPriority w:val="99"/>
    <w:rsid w:val="0052780A"/>
    <w:pPr>
      <w:autoSpaceDE w:val="0"/>
      <w:autoSpaceDN w:val="0"/>
      <w:adjustRightInd w:val="0"/>
      <w:spacing w:after="0" w:line="241" w:lineRule="atLeast"/>
    </w:pPr>
    <w:rPr>
      <w:rFonts w:ascii="Helvetica" w:hAnsi="Helvetica" w:cs="Helvetica"/>
      <w:sz w:val="24"/>
      <w:szCs w:val="24"/>
      <w:lang w:eastAsia="en-GB"/>
    </w:rPr>
  </w:style>
  <w:style w:type="character" w:customStyle="1" w:styleId="A2">
    <w:name w:val="A2"/>
    <w:uiPriority w:val="99"/>
    <w:rsid w:val="0052780A"/>
    <w:rPr>
      <w:b/>
      <w:color w:val="0078C1"/>
      <w:sz w:val="26"/>
    </w:rPr>
  </w:style>
  <w:style w:type="table" w:styleId="TableGrid">
    <w:name w:val="Table Grid"/>
    <w:basedOn w:val="TableNormal"/>
    <w:uiPriority w:val="99"/>
    <w:rsid w:val="009A1F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1511C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0A77FAF452E4EB6223A697478722B" ma:contentTypeVersion="0" ma:contentTypeDescription="Create a new document." ma:contentTypeScope="" ma:versionID="1ea264914349ee06cf0b7291cff948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6BEA0-6A4E-40E9-970B-E1B8B4ACD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B9DC5F-7B44-479D-90E0-C88155093E7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2F513B-A11B-46BC-9406-4EA75EF43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648</Words>
  <Characters>3738</Characters>
  <Application>Microsoft Office Word</Application>
  <DocSecurity>0</DocSecurity>
  <Lines>31</Lines>
  <Paragraphs>8</Paragraphs>
  <ScaleCrop>false</ScaleCrop>
  <Company>UK Commission for Employment and Skills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subject/>
  <dc:creator>CHoulden</dc:creator>
  <cp:keywords/>
  <dc:description/>
  <cp:lastModifiedBy>Andrea.Brookes</cp:lastModifiedBy>
  <cp:revision>3</cp:revision>
  <dcterms:created xsi:type="dcterms:W3CDTF">2011-07-13T09:43:00Z</dcterms:created>
  <dcterms:modified xsi:type="dcterms:W3CDTF">2012-02-03T15:26:00Z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0x0101002D60A77FAF452E4EB6223A697478722B</vt:lpwstr>
  </property>
</Properties>
</file>