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FF29EF" w:rsidRPr="00822955" w:rsidTr="009524C5">
        <w:tc>
          <w:tcPr>
            <w:tcW w:w="2518" w:type="dxa"/>
          </w:tcPr>
          <w:p w:rsidR="00FF29EF" w:rsidRPr="00822955" w:rsidRDefault="00FF29EF" w:rsidP="00822955">
            <w:pPr>
              <w:pStyle w:val="NOSSideHeading"/>
              <w:spacing w:line="360" w:lineRule="auto"/>
              <w:ind w:right="-108"/>
              <w:rPr>
                <w:rFonts w:cs="Arial"/>
                <w:sz w:val="22"/>
              </w:rPr>
            </w:pPr>
            <w:bookmarkStart w:id="0" w:name="Overview"/>
            <w:r w:rsidRPr="00822955">
              <w:rPr>
                <w:rFonts w:cs="Arial"/>
                <w:sz w:val="22"/>
              </w:rPr>
              <w:t>Overview</w:t>
            </w:r>
            <w:r w:rsidRPr="00822955">
              <w:rPr>
                <w:rFonts w:cs="Arial"/>
                <w:sz w:val="22"/>
              </w:rPr>
              <w:br/>
            </w:r>
          </w:p>
        </w:tc>
        <w:tc>
          <w:tcPr>
            <w:tcW w:w="7967" w:type="dxa"/>
          </w:tcPr>
          <w:p w:rsidR="00FF29EF" w:rsidRPr="00822955" w:rsidRDefault="00DF64BC" w:rsidP="0082295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</w:rPr>
            </w:pPr>
            <w:bookmarkStart w:id="1" w:name="StartOverview"/>
            <w:bookmarkEnd w:id="1"/>
            <w:r w:rsidRPr="00822955">
              <w:rPr>
                <w:rFonts w:cs="Arial"/>
              </w:rPr>
              <w:t xml:space="preserve">This standard </w:t>
            </w:r>
            <w:r w:rsidR="00FF29EF" w:rsidRPr="00822955">
              <w:rPr>
                <w:rFonts w:cs="Arial"/>
              </w:rPr>
              <w:t xml:space="preserve">is about </w:t>
            </w:r>
            <w:r w:rsidR="00F4366E" w:rsidRPr="00822955">
              <w:rPr>
                <w:rFonts w:cs="Arial"/>
              </w:rPr>
              <w:t>preparing</w:t>
            </w:r>
            <w:r w:rsidR="00A86829" w:rsidRPr="00822955">
              <w:rPr>
                <w:rFonts w:cs="Arial"/>
              </w:rPr>
              <w:t xml:space="preserve"> </w:t>
            </w:r>
            <w:r w:rsidR="00E43AF1" w:rsidRPr="00822955">
              <w:rPr>
                <w:rFonts w:cs="Arial"/>
              </w:rPr>
              <w:t xml:space="preserve">for </w:t>
            </w:r>
            <w:r w:rsidR="00FF29EF" w:rsidRPr="00822955">
              <w:rPr>
                <w:rFonts w:cs="Arial"/>
              </w:rPr>
              <w:t>forensic investigation process</w:t>
            </w:r>
            <w:r w:rsidR="00960466" w:rsidRPr="00822955">
              <w:rPr>
                <w:rFonts w:cs="Arial"/>
              </w:rPr>
              <w:t>es</w:t>
            </w:r>
            <w:r w:rsidR="00FF29EF" w:rsidRPr="00822955">
              <w:rPr>
                <w:rFonts w:cs="Arial"/>
              </w:rPr>
              <w:t xml:space="preserve"> upon receiving information that incident</w:t>
            </w:r>
            <w:r w:rsidR="00490737" w:rsidRPr="00822955">
              <w:rPr>
                <w:rFonts w:cs="Arial"/>
              </w:rPr>
              <w:t>s</w:t>
            </w:r>
            <w:r w:rsidR="00FF29EF" w:rsidRPr="00822955">
              <w:rPr>
                <w:rFonts w:cs="Arial"/>
              </w:rPr>
              <w:t xml:space="preserve"> ha</w:t>
            </w:r>
            <w:r w:rsidR="00490737" w:rsidRPr="00822955">
              <w:rPr>
                <w:rFonts w:cs="Arial"/>
              </w:rPr>
              <w:t>ve</w:t>
            </w:r>
            <w:r w:rsidR="00FF29EF" w:rsidRPr="00822955">
              <w:rPr>
                <w:rFonts w:cs="Arial"/>
              </w:rPr>
              <w:t xml:space="preserve"> occurred. </w:t>
            </w:r>
          </w:p>
          <w:p w:rsidR="00FF29EF" w:rsidRPr="00822955" w:rsidRDefault="00FF29EF" w:rsidP="0082295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</w:rPr>
            </w:pPr>
          </w:p>
          <w:p w:rsidR="00FF29EF" w:rsidRPr="00822955" w:rsidRDefault="00FF29EF" w:rsidP="0082295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</w:rPr>
            </w:pPr>
            <w:r w:rsidRPr="00822955">
              <w:rPr>
                <w:rFonts w:cs="Arial"/>
              </w:rPr>
              <w:t>You will need to gather all relevant information, decide the types of forensic examination necessary and make assessment</w:t>
            </w:r>
            <w:r w:rsidR="00490737" w:rsidRPr="00822955">
              <w:rPr>
                <w:rFonts w:cs="Arial"/>
              </w:rPr>
              <w:t>s</w:t>
            </w:r>
            <w:r w:rsidR="00E43AF1" w:rsidRPr="00822955">
              <w:rPr>
                <w:rFonts w:cs="Arial"/>
              </w:rPr>
              <w:t xml:space="preserve"> on information and intelligence obtained</w:t>
            </w:r>
            <w:r w:rsidRPr="00822955">
              <w:rPr>
                <w:rFonts w:cs="Arial"/>
              </w:rPr>
              <w:t>.</w:t>
            </w:r>
            <w:r w:rsidR="00BC5EEB" w:rsidRPr="00822955">
              <w:rPr>
                <w:rFonts w:cs="Arial"/>
              </w:rPr>
              <w:t xml:space="preserve"> </w:t>
            </w:r>
            <w:r w:rsidRPr="00822955">
              <w:rPr>
                <w:rFonts w:cs="Arial"/>
              </w:rPr>
              <w:t>You will also need to prepare for examination</w:t>
            </w:r>
            <w:r w:rsidR="00490737" w:rsidRPr="00822955">
              <w:rPr>
                <w:rFonts w:cs="Arial"/>
              </w:rPr>
              <w:t>s</w:t>
            </w:r>
            <w:r w:rsidRPr="00822955">
              <w:rPr>
                <w:rFonts w:cs="Arial"/>
              </w:rPr>
              <w:t xml:space="preserve"> and provide advice to others on control and preservation of scene</w:t>
            </w:r>
            <w:r w:rsidR="00360461" w:rsidRPr="00822955">
              <w:rPr>
                <w:rFonts w:cs="Arial"/>
              </w:rPr>
              <w:t>s</w:t>
            </w:r>
            <w:r w:rsidRPr="00822955">
              <w:rPr>
                <w:rFonts w:cs="Arial"/>
              </w:rPr>
              <w:t>.</w:t>
            </w:r>
            <w:r w:rsidR="00540778" w:rsidRPr="00822955">
              <w:rPr>
                <w:rFonts w:cs="Arial"/>
              </w:rPr>
              <w:t xml:space="preserve"> </w:t>
            </w:r>
          </w:p>
          <w:p w:rsidR="00FF29EF" w:rsidRPr="00822955" w:rsidRDefault="00FF29EF" w:rsidP="0082295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</w:rPr>
            </w:pPr>
          </w:p>
          <w:p w:rsidR="00F320DE" w:rsidRPr="00822955" w:rsidRDefault="00F320DE" w:rsidP="0082295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</w:rPr>
            </w:pPr>
            <w:r w:rsidRPr="00822955">
              <w:rPr>
                <w:rFonts w:cs="Arial"/>
              </w:rPr>
              <w:t>Maintaining health and safety, together with the integrity and continuity of forensic materials, is of paramount importance.</w:t>
            </w:r>
          </w:p>
          <w:p w:rsidR="00FF29EF" w:rsidRPr="00822955" w:rsidRDefault="00FF29EF" w:rsidP="0082295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</w:rPr>
            </w:pPr>
          </w:p>
        </w:tc>
      </w:tr>
      <w:bookmarkEnd w:id="0"/>
    </w:tbl>
    <w:p w:rsidR="00FF29EF" w:rsidRPr="00822955" w:rsidRDefault="00FF29EF" w:rsidP="00822955">
      <w:pPr>
        <w:spacing w:line="360" w:lineRule="auto"/>
        <w:rPr>
          <w:rFonts w:ascii="Arial" w:hAnsi="Arial" w:cs="Arial"/>
        </w:rPr>
      </w:pPr>
      <w:r w:rsidRPr="00822955">
        <w:rPr>
          <w:rFonts w:ascii="Arial" w:hAnsi="Arial" w:cs="Arial"/>
        </w:rPr>
        <w:br w:type="page"/>
      </w:r>
      <w:bookmarkStart w:id="2" w:name="EndOverview"/>
      <w:bookmarkEnd w:id="2"/>
    </w:p>
    <w:tbl>
      <w:tblPr>
        <w:tblW w:w="0" w:type="auto"/>
        <w:tblLook w:val="00A0"/>
      </w:tblPr>
      <w:tblGrid>
        <w:gridCol w:w="2518"/>
        <w:gridCol w:w="7902"/>
      </w:tblGrid>
      <w:tr w:rsidR="00FF29EF" w:rsidRPr="00822955" w:rsidTr="00690067">
        <w:tc>
          <w:tcPr>
            <w:tcW w:w="2518" w:type="dxa"/>
          </w:tcPr>
          <w:p w:rsidR="00315598" w:rsidRPr="00822955" w:rsidRDefault="00FF29EF" w:rsidP="008229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78C1"/>
                <w:lang w:eastAsia="en-GB"/>
              </w:rPr>
            </w:pPr>
            <w:bookmarkStart w:id="3" w:name="Performance"/>
            <w:r w:rsidRPr="00822955">
              <w:rPr>
                <w:rFonts w:ascii="Arial" w:hAnsi="Arial" w:cs="Arial"/>
                <w:b/>
                <w:bCs/>
                <w:color w:val="0078C1"/>
                <w:lang w:eastAsia="en-GB"/>
              </w:rPr>
              <w:lastRenderedPageBreak/>
              <w:t xml:space="preserve">Performance </w:t>
            </w:r>
          </w:p>
          <w:p w:rsidR="00FF29EF" w:rsidRPr="00822955" w:rsidRDefault="00FF29EF" w:rsidP="008229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iCs/>
                <w:color w:val="0078C1"/>
              </w:rPr>
            </w:pPr>
            <w:r w:rsidRPr="00822955">
              <w:rPr>
                <w:rFonts w:ascii="Arial" w:hAnsi="Arial" w:cs="Arial"/>
                <w:b/>
                <w:bCs/>
                <w:color w:val="0078C1"/>
                <w:lang w:eastAsia="en-GB"/>
              </w:rPr>
              <w:t>criteria</w:t>
            </w:r>
            <w:r w:rsidRPr="00822955">
              <w:rPr>
                <w:rFonts w:ascii="Arial" w:hAnsi="Arial" w:cs="Arial"/>
                <w:b/>
                <w:bCs/>
                <w:color w:val="0078C1"/>
                <w:lang w:eastAsia="en-GB"/>
              </w:rPr>
              <w:br/>
            </w: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</w:rPr>
            </w:pPr>
            <w:r w:rsidRPr="00822955">
              <w:rPr>
                <w:rFonts w:cs="Arial"/>
                <w:i w:val="0"/>
              </w:rPr>
              <w:t>You must be able to:</w:t>
            </w: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</w:rPr>
            </w:pPr>
          </w:p>
        </w:tc>
        <w:tc>
          <w:tcPr>
            <w:tcW w:w="7902" w:type="dxa"/>
          </w:tcPr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  <w:bookmarkStart w:id="4" w:name="StartPerformance"/>
            <w:bookmarkEnd w:id="4"/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4B442C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obtain relevant information relating to incident</w:t>
            </w:r>
            <w:r w:rsidR="00A86829" w:rsidRPr="00822955">
              <w:rPr>
                <w:rFonts w:cs="Arial"/>
                <w:b w:val="0"/>
              </w:rPr>
              <w:t>s</w:t>
            </w:r>
            <w:r w:rsidRPr="00822955">
              <w:rPr>
                <w:rFonts w:cs="Arial"/>
                <w:b w:val="0"/>
              </w:rPr>
              <w:t xml:space="preserve"> from appropriate </w:t>
            </w:r>
            <w:r w:rsidR="004B442C" w:rsidRPr="00822955">
              <w:rPr>
                <w:rFonts w:cs="Arial"/>
                <w:b w:val="0"/>
              </w:rPr>
              <w:t>people</w:t>
            </w:r>
            <w:r w:rsidRPr="00822955">
              <w:rPr>
                <w:rFonts w:cs="Arial"/>
                <w:b w:val="0"/>
              </w:rPr>
              <w:t xml:space="preserve"> and systems 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d</w:t>
            </w:r>
            <w:r w:rsidR="00AC0220" w:rsidRPr="00822955">
              <w:rPr>
                <w:rFonts w:cs="Arial"/>
                <w:b w:val="0"/>
              </w:rPr>
              <w:t xml:space="preserve">etermine </w:t>
            </w:r>
            <w:r w:rsidRPr="00822955">
              <w:rPr>
                <w:rFonts w:cs="Arial"/>
                <w:b w:val="0"/>
              </w:rPr>
              <w:t>whether arrangements are required to access scene</w:t>
            </w:r>
            <w:r w:rsidR="00A86829" w:rsidRPr="00822955">
              <w:rPr>
                <w:rFonts w:cs="Arial"/>
                <w:b w:val="0"/>
              </w:rPr>
              <w:t>s</w:t>
            </w:r>
            <w:r w:rsidR="00AA62C5" w:rsidRPr="00822955">
              <w:rPr>
                <w:rFonts w:cs="Arial"/>
                <w:b w:val="0"/>
              </w:rPr>
              <w:t xml:space="preserve"> </w:t>
            </w:r>
            <w:r w:rsidR="00413FC4" w:rsidRPr="00822955">
              <w:rPr>
                <w:rFonts w:cs="Arial"/>
                <w:b w:val="0"/>
              </w:rPr>
              <w:t xml:space="preserve">of incidents </w:t>
            </w:r>
            <w:r w:rsidR="00AA62C5" w:rsidRPr="00822955">
              <w:rPr>
                <w:rFonts w:cs="Arial"/>
                <w:b w:val="0"/>
              </w:rPr>
              <w:t>in line with organisational procedures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assess information you have obtained </w:t>
            </w:r>
            <w:r w:rsidR="00F45982" w:rsidRPr="00822955">
              <w:rPr>
                <w:rFonts w:cs="Arial"/>
                <w:b w:val="0"/>
              </w:rPr>
              <w:t>regarding incident</w:t>
            </w:r>
            <w:r w:rsidR="001A269A" w:rsidRPr="00822955">
              <w:rPr>
                <w:rFonts w:cs="Arial"/>
                <w:b w:val="0"/>
              </w:rPr>
              <w:t>s to</w:t>
            </w:r>
            <w:r w:rsidR="00F45982" w:rsidRPr="00822955">
              <w:rPr>
                <w:rFonts w:cs="Arial"/>
                <w:b w:val="0"/>
              </w:rPr>
              <w:t xml:space="preserve"> </w:t>
            </w:r>
            <w:r w:rsidRPr="00822955">
              <w:rPr>
                <w:rFonts w:cs="Arial"/>
                <w:b w:val="0"/>
              </w:rPr>
              <w:t>determine who should undertake forensic examination</w:t>
            </w:r>
            <w:r w:rsidR="00490737" w:rsidRPr="00822955">
              <w:rPr>
                <w:rFonts w:cs="Arial"/>
                <w:b w:val="0"/>
              </w:rPr>
              <w:t>s</w:t>
            </w:r>
            <w:r w:rsidRPr="00822955">
              <w:rPr>
                <w:rFonts w:cs="Arial"/>
                <w:b w:val="0"/>
              </w:rPr>
              <w:t xml:space="preserve"> of scene</w:t>
            </w:r>
            <w:r w:rsidR="00360461" w:rsidRPr="00822955">
              <w:rPr>
                <w:rFonts w:cs="Arial"/>
                <w:b w:val="0"/>
              </w:rPr>
              <w:t>s of incidents</w:t>
            </w:r>
          </w:p>
          <w:p w:rsidR="00B66F7A" w:rsidRPr="00822955" w:rsidRDefault="00490737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assess</w:t>
            </w:r>
            <w:r w:rsidR="00FF29EF" w:rsidRPr="00822955">
              <w:rPr>
                <w:rFonts w:cs="Arial"/>
                <w:b w:val="0"/>
              </w:rPr>
              <w:t xml:space="preserve"> resources required</w:t>
            </w:r>
            <w:r w:rsidR="00B66F7A" w:rsidRPr="00822955">
              <w:rPr>
                <w:rFonts w:cs="Arial"/>
                <w:b w:val="0"/>
              </w:rPr>
              <w:t xml:space="preserve"> </w:t>
            </w:r>
            <w:r w:rsidR="00360461" w:rsidRPr="00822955">
              <w:rPr>
                <w:rFonts w:cs="Arial"/>
                <w:b w:val="0"/>
              </w:rPr>
              <w:t xml:space="preserve">for forensic examinations </w:t>
            </w:r>
            <w:r w:rsidR="00B66F7A" w:rsidRPr="00822955">
              <w:rPr>
                <w:rFonts w:cs="Arial"/>
                <w:b w:val="0"/>
              </w:rPr>
              <w:t>in line with operating procedures</w:t>
            </w:r>
          </w:p>
          <w:p w:rsidR="00FF29EF" w:rsidRPr="00822955" w:rsidRDefault="00761929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communicate </w:t>
            </w:r>
            <w:r w:rsidR="00392637" w:rsidRPr="00822955">
              <w:rPr>
                <w:rFonts w:cs="Arial"/>
                <w:b w:val="0"/>
              </w:rPr>
              <w:t xml:space="preserve">information to </w:t>
            </w:r>
            <w:r w:rsidR="00FF29EF" w:rsidRPr="00822955">
              <w:rPr>
                <w:rFonts w:cs="Arial"/>
                <w:b w:val="0"/>
              </w:rPr>
              <w:t xml:space="preserve">relevant people </w:t>
            </w:r>
            <w:r w:rsidRPr="00822955">
              <w:rPr>
                <w:rFonts w:cs="Arial"/>
                <w:b w:val="0"/>
              </w:rPr>
              <w:t>in line with organisation requirements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maintain health, safety and welfare at scene</w:t>
            </w:r>
            <w:r w:rsidR="00360461" w:rsidRPr="00822955">
              <w:rPr>
                <w:rFonts w:cs="Arial"/>
                <w:b w:val="0"/>
              </w:rPr>
              <w:t>s of incidents</w:t>
            </w:r>
            <w:r w:rsidR="00A711D6" w:rsidRPr="00822955">
              <w:rPr>
                <w:rFonts w:cs="Arial"/>
                <w:b w:val="0"/>
              </w:rPr>
              <w:t xml:space="preserve"> in line with organisation</w:t>
            </w:r>
            <w:r w:rsidR="00D618A5" w:rsidRPr="00822955">
              <w:rPr>
                <w:rFonts w:cs="Arial"/>
                <w:b w:val="0"/>
              </w:rPr>
              <w:t>al</w:t>
            </w:r>
            <w:r w:rsidR="00A711D6" w:rsidRPr="00822955">
              <w:rPr>
                <w:rFonts w:cs="Arial"/>
                <w:b w:val="0"/>
              </w:rPr>
              <w:t xml:space="preserve"> procedures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prepare equipment required for </w:t>
            </w:r>
            <w:r w:rsidR="00D618A5" w:rsidRPr="00822955">
              <w:rPr>
                <w:rFonts w:cs="Arial"/>
                <w:b w:val="0"/>
              </w:rPr>
              <w:t>investigating</w:t>
            </w:r>
            <w:r w:rsidRPr="00822955">
              <w:rPr>
                <w:rFonts w:cs="Arial"/>
                <w:b w:val="0"/>
              </w:rPr>
              <w:t xml:space="preserve"> scene</w:t>
            </w:r>
            <w:r w:rsidR="00413FC4" w:rsidRPr="00822955">
              <w:rPr>
                <w:rFonts w:cs="Arial"/>
                <w:b w:val="0"/>
              </w:rPr>
              <w:t>s of incidents</w:t>
            </w:r>
            <w:r w:rsidR="00A711D6" w:rsidRPr="00822955">
              <w:rPr>
                <w:rFonts w:cs="Arial"/>
                <w:b w:val="0"/>
              </w:rPr>
              <w:t xml:space="preserve"> in line with forensic procedures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prioritise </w:t>
            </w:r>
            <w:r w:rsidR="00045F07" w:rsidRPr="00822955">
              <w:rPr>
                <w:rFonts w:cs="Arial"/>
                <w:b w:val="0"/>
              </w:rPr>
              <w:t xml:space="preserve">actions required for </w:t>
            </w:r>
            <w:r w:rsidR="00D618A5" w:rsidRPr="00822955">
              <w:rPr>
                <w:rFonts w:cs="Arial"/>
                <w:b w:val="0"/>
              </w:rPr>
              <w:t>investigating</w:t>
            </w:r>
            <w:r w:rsidR="00045F07" w:rsidRPr="00822955">
              <w:rPr>
                <w:rFonts w:cs="Arial"/>
                <w:b w:val="0"/>
              </w:rPr>
              <w:t xml:space="preserve"> scene</w:t>
            </w:r>
            <w:r w:rsidR="00413FC4" w:rsidRPr="00822955">
              <w:rPr>
                <w:rFonts w:cs="Arial"/>
                <w:b w:val="0"/>
              </w:rPr>
              <w:t>s of incidents</w:t>
            </w:r>
            <w:r w:rsidR="00045F07" w:rsidRPr="00822955">
              <w:rPr>
                <w:rFonts w:cs="Arial"/>
                <w:b w:val="0"/>
              </w:rPr>
              <w:t xml:space="preserve"> </w:t>
            </w:r>
            <w:r w:rsidRPr="00822955">
              <w:rPr>
                <w:rFonts w:cs="Arial"/>
                <w:b w:val="0"/>
              </w:rPr>
              <w:t>to maximise the recovery of forensic samples</w:t>
            </w:r>
            <w:r w:rsidR="00045F07" w:rsidRPr="00822955">
              <w:rPr>
                <w:rFonts w:cs="Arial"/>
                <w:b w:val="0"/>
              </w:rPr>
              <w:t xml:space="preserve"> in line with operating procedures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provide advice to relevant </w:t>
            </w:r>
            <w:r w:rsidR="001F6DBB" w:rsidRPr="00822955">
              <w:rPr>
                <w:rFonts w:cs="Arial"/>
                <w:b w:val="0"/>
              </w:rPr>
              <w:t xml:space="preserve">people </w:t>
            </w:r>
            <w:r w:rsidRPr="00822955">
              <w:rPr>
                <w:rFonts w:cs="Arial"/>
                <w:b w:val="0"/>
              </w:rPr>
              <w:t>regarding the control and preservation of scene</w:t>
            </w:r>
            <w:r w:rsidR="00413FC4" w:rsidRPr="00822955">
              <w:rPr>
                <w:rFonts w:cs="Arial"/>
                <w:b w:val="0"/>
              </w:rPr>
              <w:t>s of incidents</w:t>
            </w:r>
            <w:r w:rsidR="00DD0BA0" w:rsidRPr="00822955">
              <w:rPr>
                <w:rFonts w:cs="Arial"/>
                <w:b w:val="0"/>
              </w:rPr>
              <w:t xml:space="preserve"> in line with operating procedures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16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record relevant information in line with </w:t>
            </w:r>
            <w:r w:rsidR="00F4366E" w:rsidRPr="00822955">
              <w:rPr>
                <w:rFonts w:cs="Arial"/>
                <w:b w:val="0"/>
              </w:rPr>
              <w:t>organisational</w:t>
            </w:r>
            <w:r w:rsidRPr="00822955">
              <w:rPr>
                <w:rFonts w:cs="Arial"/>
                <w:b w:val="0"/>
              </w:rPr>
              <w:t xml:space="preserve"> procedures 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</w:tc>
      </w:tr>
    </w:tbl>
    <w:p w:rsidR="00FF29EF" w:rsidRPr="00822955" w:rsidRDefault="00FF29EF" w:rsidP="00822955">
      <w:pPr>
        <w:spacing w:line="360" w:lineRule="auto"/>
        <w:rPr>
          <w:rFonts w:ascii="Arial" w:hAnsi="Arial" w:cs="Arial"/>
        </w:rPr>
      </w:pPr>
      <w:bookmarkStart w:id="5" w:name="EndPerformance"/>
      <w:bookmarkEnd w:id="3"/>
      <w:bookmarkEnd w:id="5"/>
    </w:p>
    <w:p w:rsidR="00FF29EF" w:rsidRPr="00822955" w:rsidRDefault="00FF29EF" w:rsidP="00822955">
      <w:pPr>
        <w:spacing w:line="360" w:lineRule="auto"/>
        <w:rPr>
          <w:rFonts w:ascii="Arial" w:hAnsi="Arial" w:cs="Arial"/>
        </w:rPr>
      </w:pPr>
      <w:r w:rsidRPr="00822955">
        <w:rPr>
          <w:rFonts w:ascii="Arial" w:hAnsi="Arial" w:cs="Arial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FF29EF" w:rsidRPr="00822955" w:rsidTr="00690067">
        <w:tc>
          <w:tcPr>
            <w:tcW w:w="2518" w:type="dxa"/>
          </w:tcPr>
          <w:p w:rsidR="00FF29EF" w:rsidRPr="00822955" w:rsidRDefault="00FF29EF" w:rsidP="00822955">
            <w:pPr>
              <w:pStyle w:val="NOSSideHeading"/>
              <w:spacing w:line="360" w:lineRule="auto"/>
              <w:rPr>
                <w:rFonts w:cs="Arial"/>
                <w:b w:val="0"/>
                <w:iCs/>
                <w:noProof w:val="0"/>
                <w:color w:val="0078C1"/>
                <w:sz w:val="22"/>
              </w:rPr>
            </w:pPr>
            <w:r w:rsidRPr="00822955">
              <w:rPr>
                <w:rFonts w:cs="Arial"/>
                <w:sz w:val="22"/>
              </w:rPr>
              <w:lastRenderedPageBreak/>
              <w:t>K</w:t>
            </w:r>
            <w:r w:rsidRPr="00822955">
              <w:rPr>
                <w:rFonts w:cs="Arial"/>
                <w:bCs/>
                <w:sz w:val="22"/>
              </w:rPr>
              <w:t>nowledge and understanding</w:t>
            </w:r>
            <w:r w:rsidRPr="00822955">
              <w:rPr>
                <w:rFonts w:cs="Arial"/>
                <w:sz w:val="22"/>
              </w:rPr>
              <w:br/>
            </w:r>
            <w:bookmarkStart w:id="6" w:name="Knowledge"/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  <w:r w:rsidRPr="00822955">
              <w:rPr>
                <w:rFonts w:cs="Arial"/>
                <w:i w:val="0"/>
                <w:iCs/>
                <w:noProof w:val="0"/>
                <w:color w:val="0078C1"/>
              </w:rPr>
              <w:t>You need to know and understand:</w:t>
            </w: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</w:rPr>
            </w:pPr>
          </w:p>
          <w:p w:rsidR="000D138C" w:rsidRPr="00822955" w:rsidRDefault="000D138C" w:rsidP="00822955">
            <w:pPr>
              <w:pStyle w:val="NOSSideSubHeading"/>
              <w:spacing w:line="360" w:lineRule="auto"/>
              <w:rPr>
                <w:rFonts w:cs="Arial"/>
                <w:i w:val="0"/>
              </w:rPr>
            </w:pPr>
          </w:p>
          <w:p w:rsidR="000D138C" w:rsidRPr="00822955" w:rsidRDefault="000D138C" w:rsidP="00822955">
            <w:pPr>
              <w:pStyle w:val="NOSSideSubHeading"/>
              <w:spacing w:line="360" w:lineRule="auto"/>
              <w:rPr>
                <w:rFonts w:cs="Arial"/>
                <w:i w:val="0"/>
              </w:rPr>
            </w:pPr>
          </w:p>
        </w:tc>
        <w:tc>
          <w:tcPr>
            <w:tcW w:w="7902" w:type="dxa"/>
          </w:tcPr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  <w:bookmarkStart w:id="7" w:name="StartKnowledge"/>
            <w:bookmarkEnd w:id="7"/>
            <w:r w:rsidRPr="00822955">
              <w:rPr>
                <w:rFonts w:cs="Arial"/>
              </w:rPr>
              <w:t>Legal and organisational requirements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93762E" w:rsidRPr="00822955" w:rsidRDefault="00C95C3A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the requirements of relevant law, policies, operating procedures and guidelines relating to preparing for f</w:t>
            </w:r>
            <w:r w:rsidR="0093762E" w:rsidRPr="00822955">
              <w:rPr>
                <w:rFonts w:cs="Arial"/>
                <w:b w:val="0"/>
              </w:rPr>
              <w:t>orensic investigative processes</w:t>
            </w:r>
          </w:p>
          <w:p w:rsidR="00596B4B" w:rsidRPr="00822955" w:rsidRDefault="00596B4B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implications of current law, policies and procedures relating to:</w:t>
            </w:r>
          </w:p>
          <w:p w:rsidR="00596B4B" w:rsidRPr="00822955" w:rsidRDefault="00596B4B" w:rsidP="00822955">
            <w:pPr>
              <w:pStyle w:val="NOSBodyHeading"/>
              <w:numPr>
                <w:ilvl w:val="0"/>
                <w:numId w:val="24"/>
              </w:numPr>
              <w:spacing w:line="360" w:lineRule="auto"/>
              <w:ind w:hanging="686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health and safety</w:t>
            </w:r>
          </w:p>
          <w:p w:rsidR="00596B4B" w:rsidRPr="00822955" w:rsidRDefault="00596B4B" w:rsidP="00822955">
            <w:pPr>
              <w:pStyle w:val="NOSBodyHeading"/>
              <w:numPr>
                <w:ilvl w:val="0"/>
                <w:numId w:val="24"/>
              </w:numPr>
              <w:spacing w:line="360" w:lineRule="auto"/>
              <w:ind w:hanging="686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information and data handling</w:t>
            </w:r>
          </w:p>
          <w:p w:rsidR="00596B4B" w:rsidRPr="00822955" w:rsidRDefault="00596B4B" w:rsidP="00822955">
            <w:pPr>
              <w:pStyle w:val="NOSBodyHeading"/>
              <w:numPr>
                <w:ilvl w:val="0"/>
                <w:numId w:val="24"/>
              </w:numPr>
              <w:spacing w:line="360" w:lineRule="auto"/>
              <w:ind w:hanging="686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human rights</w:t>
            </w:r>
          </w:p>
          <w:p w:rsidR="00596B4B" w:rsidRPr="00822955" w:rsidRDefault="00596B4B" w:rsidP="00822955">
            <w:pPr>
              <w:pStyle w:val="NOSBodyHeading"/>
              <w:numPr>
                <w:ilvl w:val="0"/>
                <w:numId w:val="24"/>
              </w:numPr>
              <w:spacing w:line="360" w:lineRule="auto"/>
              <w:ind w:hanging="686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criminal justice system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the importance of obtaining consent and authori</w:t>
            </w:r>
            <w:r w:rsidR="00596B4B" w:rsidRPr="00822955">
              <w:rPr>
                <w:rFonts w:cs="Arial"/>
                <w:b w:val="0"/>
              </w:rPr>
              <w:t>sation</w:t>
            </w:r>
            <w:r w:rsidRPr="00822955">
              <w:rPr>
                <w:rFonts w:cs="Arial"/>
                <w:b w:val="0"/>
              </w:rPr>
              <w:t xml:space="preserve"> for scene examination</w:t>
            </w:r>
            <w:r w:rsidR="00534559" w:rsidRPr="00822955">
              <w:rPr>
                <w:rFonts w:cs="Arial"/>
                <w:b w:val="0"/>
              </w:rPr>
              <w:t>s</w:t>
            </w:r>
            <w:r w:rsidRPr="00822955">
              <w:rPr>
                <w:rFonts w:cs="Arial"/>
                <w:b w:val="0"/>
              </w:rPr>
              <w:t>, and how to do this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the im</w:t>
            </w:r>
            <w:r w:rsidR="00C33516" w:rsidRPr="00822955">
              <w:rPr>
                <w:rFonts w:cs="Arial"/>
                <w:b w:val="0"/>
              </w:rPr>
              <w:t>portance of progressing actions according to agreed timescales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your level of authority </w:t>
            </w:r>
            <w:r w:rsidR="00C33516" w:rsidRPr="00822955">
              <w:rPr>
                <w:rFonts w:cs="Arial"/>
                <w:b w:val="0"/>
              </w:rPr>
              <w:t>when</w:t>
            </w:r>
            <w:r w:rsidRPr="00822955">
              <w:rPr>
                <w:rFonts w:cs="Arial"/>
                <w:b w:val="0"/>
              </w:rPr>
              <w:t xml:space="preserve"> </w:t>
            </w:r>
            <w:r w:rsidR="00FC54E3" w:rsidRPr="00822955">
              <w:rPr>
                <w:rFonts w:cs="Arial"/>
                <w:b w:val="0"/>
              </w:rPr>
              <w:t>preparing</w:t>
            </w:r>
            <w:r w:rsidRPr="00822955">
              <w:rPr>
                <w:rFonts w:cs="Arial"/>
                <w:b w:val="0"/>
              </w:rPr>
              <w:t xml:space="preserve"> forensic investigation process</w:t>
            </w:r>
            <w:r w:rsidR="000A19A6" w:rsidRPr="00822955">
              <w:rPr>
                <w:rFonts w:cs="Arial"/>
                <w:b w:val="0"/>
              </w:rPr>
              <w:t>es</w:t>
            </w:r>
            <w:r w:rsidRPr="00822955">
              <w:rPr>
                <w:rFonts w:cs="Arial"/>
                <w:b w:val="0"/>
              </w:rPr>
              <w:t>, and how to address circumstances where this may be exceeded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</w:tc>
      </w:tr>
      <w:tr w:rsidR="00FF29EF" w:rsidRPr="00822955" w:rsidTr="00690067">
        <w:tc>
          <w:tcPr>
            <w:tcW w:w="2518" w:type="dxa"/>
          </w:tcPr>
          <w:p w:rsidR="000D138C" w:rsidRPr="00822955" w:rsidRDefault="000D138C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0D138C" w:rsidRPr="00822955" w:rsidRDefault="000D138C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  <w:r w:rsidRPr="00822955">
              <w:rPr>
                <w:rFonts w:cs="Arial"/>
                <w:i w:val="0"/>
                <w:iCs/>
                <w:noProof w:val="0"/>
                <w:color w:val="0078C1"/>
              </w:rPr>
              <w:t>You need to know and understand:</w:t>
            </w:r>
          </w:p>
          <w:p w:rsidR="00FF29EF" w:rsidRPr="00822955" w:rsidRDefault="00FF29EF" w:rsidP="00822955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7902" w:type="dxa"/>
          </w:tcPr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  <w:r w:rsidRPr="00822955">
              <w:rPr>
                <w:rFonts w:cs="Arial"/>
              </w:rPr>
              <w:t>Source information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FF29EF" w:rsidRPr="00822955" w:rsidRDefault="00D618A5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how to obtain information relating to incidents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how to use IT and databases for </w:t>
            </w:r>
            <w:r w:rsidR="00090D12" w:rsidRPr="00822955">
              <w:rPr>
                <w:rFonts w:cs="Arial"/>
                <w:b w:val="0"/>
              </w:rPr>
              <w:t xml:space="preserve">preparing </w:t>
            </w:r>
            <w:r w:rsidRPr="00822955">
              <w:rPr>
                <w:rFonts w:cs="Arial"/>
                <w:b w:val="0"/>
              </w:rPr>
              <w:t>forensic investigation process</w:t>
            </w:r>
            <w:r w:rsidR="000C4DC0" w:rsidRPr="00822955">
              <w:rPr>
                <w:rFonts w:cs="Arial"/>
                <w:b w:val="0"/>
              </w:rPr>
              <w:t>es</w:t>
            </w:r>
          </w:p>
          <w:p w:rsidR="00FF29EF" w:rsidRPr="00822955" w:rsidRDefault="000C4DC0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the </w:t>
            </w:r>
            <w:r w:rsidR="00FF29EF" w:rsidRPr="00822955">
              <w:rPr>
                <w:rFonts w:cs="Arial"/>
                <w:b w:val="0"/>
              </w:rPr>
              <w:t>information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collection</w:t>
            </w:r>
            <w:r w:rsidR="00090D12" w:rsidRPr="00822955">
              <w:rPr>
                <w:rFonts w:cs="Arial"/>
                <w:b w:val="0"/>
              </w:rPr>
              <w:t>, assessment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and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recording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techniques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relevant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to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gathering</w:t>
            </w:r>
            <w:r w:rsidR="00BC5EEB" w:rsidRPr="00822955">
              <w:rPr>
                <w:rFonts w:cs="Arial"/>
                <w:b w:val="0"/>
              </w:rPr>
              <w:t xml:space="preserve"> </w:t>
            </w:r>
            <w:r w:rsidR="00FF29EF" w:rsidRPr="00822955">
              <w:rPr>
                <w:rFonts w:cs="Arial"/>
                <w:b w:val="0"/>
              </w:rPr>
              <w:t>and disseminating information regarding scenes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</w:tc>
      </w:tr>
      <w:tr w:rsidR="00FF29EF" w:rsidRPr="00822955" w:rsidTr="00690067">
        <w:tc>
          <w:tcPr>
            <w:tcW w:w="2518" w:type="dxa"/>
          </w:tcPr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  <w:r w:rsidRPr="00822955">
              <w:rPr>
                <w:rFonts w:cs="Arial"/>
                <w:i w:val="0"/>
                <w:iCs/>
                <w:noProof w:val="0"/>
                <w:color w:val="0078C1"/>
              </w:rPr>
              <w:t>You need to know and understand:</w:t>
            </w:r>
          </w:p>
          <w:p w:rsidR="00FF29EF" w:rsidRPr="00822955" w:rsidRDefault="00FF29EF" w:rsidP="00822955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7902" w:type="dxa"/>
          </w:tcPr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  <w:r w:rsidRPr="00822955">
              <w:rPr>
                <w:rFonts w:cs="Arial"/>
              </w:rPr>
              <w:t>Resources and equipment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FF29EF" w:rsidRPr="00822955" w:rsidRDefault="000C4DC0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the </w:t>
            </w:r>
            <w:r w:rsidR="00C33516" w:rsidRPr="00822955">
              <w:rPr>
                <w:rFonts w:cs="Arial"/>
                <w:b w:val="0"/>
              </w:rPr>
              <w:t>types of equipment, resources</w:t>
            </w:r>
            <w:r w:rsidR="00FF29EF" w:rsidRPr="00822955">
              <w:rPr>
                <w:rFonts w:cs="Arial"/>
                <w:b w:val="0"/>
              </w:rPr>
              <w:t xml:space="preserve"> and personnel appropriate for investigating scenes of major and volume cases and how to access the</w:t>
            </w:r>
            <w:r w:rsidR="003B30CB" w:rsidRPr="00822955">
              <w:rPr>
                <w:rFonts w:cs="Arial"/>
                <w:b w:val="0"/>
              </w:rPr>
              <w:t>m</w:t>
            </w:r>
          </w:p>
          <w:p w:rsidR="00FF29EF" w:rsidRPr="00822955" w:rsidRDefault="000A19A6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how to</w:t>
            </w:r>
            <w:r w:rsidR="00FF29EF" w:rsidRPr="00822955">
              <w:rPr>
                <w:rFonts w:cs="Arial"/>
                <w:b w:val="0"/>
              </w:rPr>
              <w:t xml:space="preserve"> prepar</w:t>
            </w:r>
            <w:r w:rsidRPr="00822955">
              <w:rPr>
                <w:rFonts w:cs="Arial"/>
                <w:b w:val="0"/>
              </w:rPr>
              <w:t>e,</w:t>
            </w:r>
            <w:r w:rsidR="00FF29EF" w:rsidRPr="00822955">
              <w:rPr>
                <w:rFonts w:cs="Arial"/>
                <w:b w:val="0"/>
              </w:rPr>
              <w:t xml:space="preserve"> use </w:t>
            </w:r>
            <w:r w:rsidRPr="00822955">
              <w:rPr>
                <w:rFonts w:cs="Arial"/>
                <w:b w:val="0"/>
              </w:rPr>
              <w:t xml:space="preserve">and address faults in </w:t>
            </w:r>
            <w:r w:rsidR="00FF29EF" w:rsidRPr="00822955">
              <w:rPr>
                <w:rFonts w:cs="Arial"/>
                <w:b w:val="0"/>
              </w:rPr>
              <w:t>equipment for investigations</w:t>
            </w:r>
          </w:p>
          <w:p w:rsidR="00FF29EF" w:rsidRPr="00822955" w:rsidRDefault="000C4DC0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how to prioritise your work</w:t>
            </w:r>
            <w:r w:rsidR="00FF29EF" w:rsidRPr="00822955">
              <w:rPr>
                <w:rFonts w:cs="Arial"/>
                <w:b w:val="0"/>
              </w:rPr>
              <w:t>load in relation to scene investigations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ind w:left="601"/>
              <w:rPr>
                <w:rFonts w:cs="Arial"/>
              </w:rPr>
            </w:pPr>
          </w:p>
        </w:tc>
      </w:tr>
      <w:tr w:rsidR="00FF29EF" w:rsidRPr="00822955" w:rsidTr="00690067">
        <w:tc>
          <w:tcPr>
            <w:tcW w:w="2518" w:type="dxa"/>
          </w:tcPr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  <w:r w:rsidRPr="00822955">
              <w:rPr>
                <w:rFonts w:cs="Arial"/>
                <w:i w:val="0"/>
                <w:iCs/>
                <w:noProof w:val="0"/>
                <w:color w:val="0078C1"/>
              </w:rPr>
              <w:t>You need to know and understand:</w:t>
            </w:r>
          </w:p>
          <w:p w:rsidR="00FF29EF" w:rsidRPr="00822955" w:rsidRDefault="00FF29EF" w:rsidP="00822955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7902" w:type="dxa"/>
          </w:tcPr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  <w:r w:rsidRPr="00822955">
              <w:rPr>
                <w:rFonts w:cs="Arial"/>
              </w:rPr>
              <w:lastRenderedPageBreak/>
              <w:t>Scene preservation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how to control and preserve scenes</w:t>
            </w:r>
            <w:r w:rsidR="000A19A6" w:rsidRPr="00822955">
              <w:rPr>
                <w:rFonts w:cs="Arial"/>
                <w:b w:val="0"/>
              </w:rPr>
              <w:t xml:space="preserve"> and the importance of this</w:t>
            </w:r>
          </w:p>
          <w:p w:rsidR="00FF29EF" w:rsidRPr="00822955" w:rsidRDefault="00FF29EF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 xml:space="preserve">contamination and cross-contamination issues </w:t>
            </w:r>
            <w:r w:rsidR="008A5F95" w:rsidRPr="00822955">
              <w:rPr>
                <w:rFonts w:cs="Arial"/>
                <w:b w:val="0"/>
              </w:rPr>
              <w:t xml:space="preserve">and considerations, </w:t>
            </w:r>
            <w:r w:rsidR="00FC54E3" w:rsidRPr="00822955">
              <w:rPr>
                <w:rFonts w:cs="Arial"/>
                <w:b w:val="0"/>
              </w:rPr>
              <w:t xml:space="preserve">and </w:t>
            </w:r>
            <w:r w:rsidR="00FC54E3" w:rsidRPr="00822955">
              <w:rPr>
                <w:rFonts w:cs="Arial"/>
                <w:b w:val="0"/>
              </w:rPr>
              <w:lastRenderedPageBreak/>
              <w:t xml:space="preserve">how </w:t>
            </w:r>
            <w:r w:rsidR="000A19A6" w:rsidRPr="00822955">
              <w:rPr>
                <w:rFonts w:cs="Arial"/>
                <w:b w:val="0"/>
              </w:rPr>
              <w:t>to address them</w:t>
            </w:r>
            <w:r w:rsidRPr="00822955">
              <w:rPr>
                <w:rFonts w:cs="Arial"/>
                <w:b w:val="0"/>
              </w:rPr>
              <w:t xml:space="preserve"> </w:t>
            </w:r>
          </w:p>
          <w:p w:rsidR="000C76FD" w:rsidRPr="00822955" w:rsidRDefault="000C76FD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</w:tc>
      </w:tr>
      <w:tr w:rsidR="00FF29EF" w:rsidRPr="00822955" w:rsidTr="00690067">
        <w:tc>
          <w:tcPr>
            <w:tcW w:w="2518" w:type="dxa"/>
          </w:tcPr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</w:p>
          <w:p w:rsidR="00FF29EF" w:rsidRPr="00822955" w:rsidRDefault="00FF29EF" w:rsidP="00822955">
            <w:pPr>
              <w:pStyle w:val="NOSSideSubHeading"/>
              <w:spacing w:line="360" w:lineRule="auto"/>
              <w:rPr>
                <w:rFonts w:cs="Arial"/>
                <w:i w:val="0"/>
                <w:iCs/>
                <w:noProof w:val="0"/>
                <w:color w:val="0078C1"/>
              </w:rPr>
            </w:pPr>
            <w:r w:rsidRPr="00822955">
              <w:rPr>
                <w:rFonts w:cs="Arial"/>
                <w:i w:val="0"/>
              </w:rPr>
              <w:t>You need to know and understand:</w:t>
            </w:r>
          </w:p>
        </w:tc>
        <w:tc>
          <w:tcPr>
            <w:tcW w:w="7902" w:type="dxa"/>
          </w:tcPr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  <w:r w:rsidRPr="00822955">
              <w:rPr>
                <w:rFonts w:cs="Arial"/>
              </w:rPr>
              <w:t>Health and safety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E738B3" w:rsidRPr="00822955" w:rsidRDefault="00E738B3" w:rsidP="00822955">
            <w:pPr>
              <w:pStyle w:val="NOSBodyHeading"/>
              <w:numPr>
                <w:ilvl w:val="0"/>
                <w:numId w:val="23"/>
              </w:numPr>
              <w:spacing w:line="360" w:lineRule="auto"/>
              <w:rPr>
                <w:rFonts w:cs="Arial"/>
                <w:b w:val="0"/>
              </w:rPr>
            </w:pPr>
            <w:r w:rsidRPr="00822955">
              <w:rPr>
                <w:rFonts w:cs="Arial"/>
                <w:b w:val="0"/>
              </w:rPr>
              <w:t>potential health and safety risks at scenes and how to address them</w:t>
            </w:r>
          </w:p>
          <w:p w:rsidR="00FF29EF" w:rsidRPr="00822955" w:rsidRDefault="00FF29EF" w:rsidP="00822955">
            <w:pPr>
              <w:pStyle w:val="NOSBodyHeading"/>
              <w:spacing w:line="360" w:lineRule="auto"/>
              <w:ind w:left="567"/>
              <w:rPr>
                <w:rFonts w:cs="Arial"/>
              </w:rPr>
            </w:pPr>
          </w:p>
        </w:tc>
      </w:tr>
    </w:tbl>
    <w:p w:rsidR="00FF29EF" w:rsidRPr="00822955" w:rsidRDefault="00FF29EF" w:rsidP="00822955">
      <w:pPr>
        <w:spacing w:line="360" w:lineRule="auto"/>
        <w:rPr>
          <w:rFonts w:ascii="Arial" w:hAnsi="Arial" w:cs="Arial"/>
        </w:rPr>
      </w:pPr>
      <w:bookmarkStart w:id="8" w:name="EndKnowledge"/>
      <w:bookmarkEnd w:id="6"/>
      <w:bookmarkEnd w:id="8"/>
      <w:r w:rsidRPr="00822955">
        <w:rPr>
          <w:rFonts w:ascii="Arial" w:hAnsi="Arial" w:cs="Arial"/>
        </w:rPr>
        <w:br w:type="page"/>
      </w:r>
    </w:p>
    <w:tbl>
      <w:tblPr>
        <w:tblW w:w="10348" w:type="dxa"/>
        <w:tblBorders>
          <w:bottom w:val="single" w:sz="4" w:space="0" w:color="548DD4" w:themeColor="text2" w:themeTint="99"/>
          <w:insideH w:val="single" w:sz="4" w:space="0" w:color="548DD4" w:themeColor="text2" w:themeTint="99"/>
        </w:tblBorders>
        <w:tblLook w:val="04A0"/>
      </w:tblPr>
      <w:tblGrid>
        <w:gridCol w:w="2387"/>
        <w:gridCol w:w="7961"/>
      </w:tblGrid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pStyle w:val="NOSSideHeading"/>
              <w:spacing w:before="30" w:line="276" w:lineRule="auto"/>
              <w:rPr>
                <w:rFonts w:cs="Arial"/>
                <w:sz w:val="22"/>
              </w:rPr>
            </w:pPr>
            <w:bookmarkStart w:id="9" w:name="EndBookmark"/>
            <w:bookmarkEnd w:id="9"/>
            <w:r w:rsidRPr="00822955">
              <w:rPr>
                <w:rFonts w:cs="Arial"/>
                <w:sz w:val="22"/>
              </w:rPr>
              <w:lastRenderedPageBreak/>
              <w:t>Developed by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line="360" w:lineRule="auto"/>
              <w:rPr>
                <w:rFonts w:cs="Arial"/>
              </w:rPr>
            </w:pPr>
            <w:bookmarkStart w:id="10" w:name="StartDevelopedBy"/>
            <w:bookmarkEnd w:id="10"/>
            <w:r w:rsidRPr="00822955">
              <w:rPr>
                <w:rFonts w:cs="Arial"/>
              </w:rPr>
              <w:t>Skills for Justice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</w:rPr>
            </w:pPr>
            <w:bookmarkStart w:id="11" w:name="EndDevelopedBy"/>
            <w:bookmarkEnd w:id="11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pStyle w:val="NOSSideHeading"/>
              <w:spacing w:before="30" w:line="276" w:lineRule="auto"/>
              <w:rPr>
                <w:rFonts w:cs="Arial"/>
                <w:sz w:val="22"/>
              </w:rPr>
            </w:pPr>
            <w:r w:rsidRPr="00822955">
              <w:rPr>
                <w:rFonts w:cs="Arial"/>
                <w:sz w:val="22"/>
              </w:rPr>
              <w:t>Version number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12" w:name="StartVersion"/>
            <w:bookmarkEnd w:id="12"/>
            <w:r w:rsidRPr="00822955">
              <w:rPr>
                <w:rFonts w:cs="Arial"/>
                <w:color w:val="221E1F"/>
              </w:rPr>
              <w:t>2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13" w:name="EndVersion"/>
            <w:bookmarkEnd w:id="13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  <w:t>Date approved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line="360" w:lineRule="auto"/>
              <w:rPr>
                <w:rFonts w:cs="Arial"/>
                <w:color w:val="221E1F"/>
              </w:rPr>
            </w:pPr>
            <w:bookmarkStart w:id="14" w:name="StartApproved"/>
            <w:bookmarkEnd w:id="14"/>
            <w:r w:rsidRPr="00822955">
              <w:rPr>
                <w:rFonts w:cs="Arial"/>
                <w:color w:val="221E1F"/>
              </w:rPr>
              <w:t>November 2013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15" w:name="EndApproved"/>
            <w:bookmarkStart w:id="16" w:name="_GoBack"/>
            <w:bookmarkEnd w:id="15"/>
            <w:bookmarkEnd w:id="16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Style w:val="A2"/>
                <w:rFonts w:ascii="Arial" w:hAnsi="Arial" w:cs="Arial"/>
                <w:noProof/>
                <w:sz w:val="22"/>
                <w:lang w:eastAsia="en-GB"/>
              </w:rPr>
              <w:t>Indicative review date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line="360" w:lineRule="auto"/>
              <w:rPr>
                <w:rStyle w:val="A3"/>
                <w:rFonts w:cs="Arial"/>
              </w:rPr>
            </w:pPr>
            <w:bookmarkStart w:id="17" w:name="StartReview"/>
            <w:bookmarkEnd w:id="17"/>
            <w:r w:rsidRPr="00822955">
              <w:rPr>
                <w:rStyle w:val="A3"/>
                <w:rFonts w:cs="Arial"/>
              </w:rPr>
              <w:t>November 2018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18" w:name="EndReview"/>
            <w:bookmarkEnd w:id="18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  <w:t>Validity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Style w:val="A3"/>
                <w:rFonts w:cs="Arial"/>
              </w:rPr>
            </w:pPr>
            <w:bookmarkStart w:id="19" w:name="StartValidity"/>
            <w:bookmarkEnd w:id="19"/>
            <w:r w:rsidRPr="00822955">
              <w:rPr>
                <w:rStyle w:val="A3"/>
                <w:rFonts w:cs="Arial"/>
              </w:rPr>
              <w:t>Current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0" w:name="EndValidity"/>
            <w:bookmarkEnd w:id="20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  <w:t>Status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1" w:name="StartStatus"/>
            <w:bookmarkEnd w:id="21"/>
            <w:r w:rsidRPr="00822955">
              <w:rPr>
                <w:rFonts w:cs="Arial"/>
                <w:color w:val="221E1F"/>
              </w:rPr>
              <w:t>Original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2" w:name="EndStatus"/>
            <w:bookmarkEnd w:id="22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Style w:val="A2"/>
                <w:rFonts w:ascii="Arial" w:hAnsi="Arial" w:cs="Arial"/>
                <w:noProof/>
                <w:sz w:val="22"/>
                <w:lang w:eastAsia="en-GB"/>
              </w:rPr>
              <w:t>Originating organisation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line="360" w:lineRule="auto"/>
              <w:rPr>
                <w:rFonts w:cs="Arial"/>
              </w:rPr>
            </w:pPr>
            <w:bookmarkStart w:id="23" w:name="StartOrigin"/>
            <w:bookmarkEnd w:id="23"/>
            <w:r w:rsidRPr="00822955">
              <w:rPr>
                <w:rFonts w:cs="Arial"/>
              </w:rPr>
              <w:t>Skills for Justice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4" w:name="EndOrigin"/>
            <w:bookmarkEnd w:id="24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  <w:t>Original URN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5" w:name="StartOriginURN"/>
            <w:bookmarkEnd w:id="25"/>
            <w:r w:rsidRPr="00822955">
              <w:rPr>
                <w:rFonts w:cs="Arial"/>
                <w:color w:val="221E1F"/>
              </w:rPr>
              <w:t>SFJ CN301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6" w:name="EndOriginURN"/>
            <w:bookmarkEnd w:id="26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Style w:val="A2"/>
                <w:rFonts w:ascii="Arial" w:hAnsi="Arial" w:cs="Arial"/>
                <w:noProof/>
                <w:sz w:val="22"/>
                <w:lang w:eastAsia="en-GB"/>
              </w:rPr>
              <w:t>Relevant occupations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line="360" w:lineRule="auto"/>
              <w:rPr>
                <w:rFonts w:cs="Arial"/>
                <w:color w:val="221E1F"/>
              </w:rPr>
            </w:pPr>
            <w:bookmarkStart w:id="27" w:name="StartOccupations"/>
            <w:bookmarkEnd w:id="27"/>
            <w:r w:rsidRPr="00822955">
              <w:rPr>
                <w:rFonts w:cs="Arial"/>
                <w:color w:val="221E1F"/>
              </w:rPr>
              <w:t>Crime scene manager; crime scene investigator; forensic laboratory officer; forensic examiner; photographic technician</w:t>
            </w:r>
            <w:bookmarkStart w:id="28" w:name="EndOccupations"/>
            <w:bookmarkEnd w:id="28"/>
          </w:p>
        </w:tc>
      </w:tr>
      <w:tr w:rsidR="00822955" w:rsidRPr="00822955" w:rsidTr="00822955"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  <w:t>Suite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29" w:name="StartSuite"/>
            <w:bookmarkEnd w:id="29"/>
            <w:r w:rsidRPr="00822955">
              <w:rPr>
                <w:rFonts w:eastAsiaTheme="minorHAnsi" w:cs="Arial"/>
                <w:color w:val="221E1F"/>
              </w:rPr>
              <w:t>Forensic Science</w:t>
            </w:r>
          </w:p>
          <w:p w:rsidR="00822955" w:rsidRPr="00822955" w:rsidRDefault="00822955" w:rsidP="00226124">
            <w:pPr>
              <w:pStyle w:val="NOSBodyText"/>
              <w:spacing w:before="30" w:line="276" w:lineRule="auto"/>
              <w:rPr>
                <w:rFonts w:cs="Arial"/>
                <w:color w:val="221E1F"/>
              </w:rPr>
            </w:pPr>
            <w:bookmarkStart w:id="30" w:name="EndSuite"/>
            <w:bookmarkEnd w:id="30"/>
          </w:p>
        </w:tc>
      </w:tr>
      <w:tr w:rsidR="00822955" w:rsidRPr="00822955" w:rsidTr="00822955">
        <w:trPr>
          <w:trHeight w:val="602"/>
        </w:trPr>
        <w:tc>
          <w:tcPr>
            <w:tcW w:w="2387" w:type="dxa"/>
          </w:tcPr>
          <w:p w:rsidR="00822955" w:rsidRPr="00822955" w:rsidRDefault="00822955" w:rsidP="00226124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</w:pPr>
            <w:r w:rsidRPr="00822955">
              <w:rPr>
                <w:rFonts w:ascii="Arial" w:hAnsi="Arial" w:cs="Arial"/>
                <w:b/>
                <w:bCs/>
                <w:noProof/>
                <w:color w:val="0078C1"/>
                <w:lang w:eastAsia="en-GB"/>
              </w:rPr>
              <w:t>Key words</w:t>
            </w:r>
          </w:p>
        </w:tc>
        <w:tc>
          <w:tcPr>
            <w:tcW w:w="7961" w:type="dxa"/>
          </w:tcPr>
          <w:p w:rsidR="00822955" w:rsidRPr="00822955" w:rsidRDefault="00822955" w:rsidP="00226124">
            <w:pPr>
              <w:pStyle w:val="NOSBodyText"/>
              <w:spacing w:line="360" w:lineRule="auto"/>
              <w:rPr>
                <w:rFonts w:cs="Arial"/>
                <w:color w:val="221E1F"/>
              </w:rPr>
            </w:pPr>
            <w:bookmarkStart w:id="31" w:name="StartKeywords"/>
            <w:bookmarkEnd w:id="31"/>
            <w:r w:rsidRPr="00822955">
              <w:rPr>
                <w:rFonts w:cs="Arial"/>
                <w:color w:val="221E1F"/>
              </w:rPr>
              <w:t>Crime; contamination; examination; forensic examinations; evidence; investigating scenes; justice; preservation</w:t>
            </w:r>
            <w:bookmarkStart w:id="32" w:name="EndKeywords"/>
            <w:bookmarkEnd w:id="32"/>
          </w:p>
        </w:tc>
      </w:tr>
    </w:tbl>
    <w:p w:rsidR="00FF29EF" w:rsidRPr="00822955" w:rsidRDefault="00FF29EF" w:rsidP="00822955">
      <w:pPr>
        <w:spacing w:line="360" w:lineRule="auto"/>
        <w:rPr>
          <w:rFonts w:ascii="Arial" w:hAnsi="Arial" w:cs="Arial"/>
        </w:rPr>
      </w:pPr>
    </w:p>
    <w:sectPr w:rsidR="00FF29EF" w:rsidRPr="00822955" w:rsidSect="005A42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F1" w:rsidRDefault="00D62EF1" w:rsidP="00521BFC">
      <w:r>
        <w:separator/>
      </w:r>
    </w:p>
  </w:endnote>
  <w:endnote w:type="continuationSeparator" w:id="0">
    <w:p w:rsidR="00D62EF1" w:rsidRDefault="00D62EF1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15" w:rsidRPr="00315598" w:rsidRDefault="00953515" w:rsidP="009F7CB5">
    <w:pPr>
      <w:pStyle w:val="Footer"/>
      <w:tabs>
        <w:tab w:val="left" w:pos="1200"/>
        <w:tab w:val="right" w:pos="10206"/>
      </w:tabs>
      <w:rPr>
        <w:rFonts w:asciiTheme="minorHAnsi" w:hAnsiTheme="minorHAnsi"/>
        <w:sz w:val="20"/>
        <w:szCs w:val="20"/>
      </w:rPr>
    </w:pPr>
    <w:r w:rsidRPr="00315598">
      <w:rPr>
        <w:rFonts w:asciiTheme="minorHAnsi" w:hAnsiTheme="minorHAnsi" w:cs="Arial"/>
        <w:sz w:val="20"/>
        <w:szCs w:val="20"/>
      </w:rPr>
      <w:t>SFJCN301 Prepare for forensic investigations</w:t>
    </w:r>
    <w:r w:rsidRPr="00315598">
      <w:rPr>
        <w:rFonts w:asciiTheme="minorHAnsi" w:hAnsiTheme="minorHAnsi" w:cs="Arial"/>
        <w:sz w:val="20"/>
        <w:szCs w:val="20"/>
      </w:rPr>
      <w:tab/>
    </w:r>
    <w:r w:rsidRPr="00315598">
      <w:rPr>
        <w:rFonts w:asciiTheme="minorHAnsi" w:hAnsiTheme="minorHAnsi"/>
        <w:sz w:val="20"/>
        <w:szCs w:val="20"/>
      </w:rPr>
      <w:tab/>
    </w:r>
    <w:r w:rsidRPr="00315598">
      <w:rPr>
        <w:rFonts w:asciiTheme="minorHAnsi" w:hAnsiTheme="minorHAnsi"/>
        <w:sz w:val="20"/>
        <w:szCs w:val="20"/>
      </w:rPr>
      <w:tab/>
    </w:r>
    <w:r w:rsidR="00353EE1" w:rsidRPr="00315598">
      <w:rPr>
        <w:rFonts w:asciiTheme="minorHAnsi" w:hAnsiTheme="minorHAnsi" w:cs="Arial"/>
        <w:sz w:val="20"/>
        <w:szCs w:val="20"/>
      </w:rPr>
      <w:fldChar w:fldCharType="begin"/>
    </w:r>
    <w:r w:rsidRPr="00315598">
      <w:rPr>
        <w:rFonts w:asciiTheme="minorHAnsi" w:hAnsiTheme="minorHAnsi" w:cs="Arial"/>
        <w:sz w:val="20"/>
        <w:szCs w:val="20"/>
      </w:rPr>
      <w:instrText xml:space="preserve"> PAGE   \* MERGEFORMAT </w:instrText>
    </w:r>
    <w:r w:rsidR="00353EE1" w:rsidRPr="00315598">
      <w:rPr>
        <w:rFonts w:asciiTheme="minorHAnsi" w:hAnsiTheme="minorHAnsi" w:cs="Arial"/>
        <w:sz w:val="20"/>
        <w:szCs w:val="20"/>
      </w:rPr>
      <w:fldChar w:fldCharType="separate"/>
    </w:r>
    <w:r w:rsidR="00822955">
      <w:rPr>
        <w:rFonts w:asciiTheme="minorHAnsi" w:hAnsiTheme="minorHAnsi" w:cs="Arial"/>
        <w:noProof/>
        <w:sz w:val="20"/>
        <w:szCs w:val="20"/>
      </w:rPr>
      <w:t>2</w:t>
    </w:r>
    <w:r w:rsidR="00353EE1" w:rsidRPr="00315598">
      <w:rPr>
        <w:rFonts w:asciiTheme="minorHAnsi" w:hAnsiTheme="minorHAnsi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15" w:rsidRPr="00315598" w:rsidRDefault="00953515" w:rsidP="0086259F">
    <w:pPr>
      <w:pStyle w:val="Footer"/>
      <w:tabs>
        <w:tab w:val="left" w:pos="1200"/>
        <w:tab w:val="right" w:pos="10206"/>
      </w:tabs>
      <w:rPr>
        <w:rFonts w:asciiTheme="minorHAnsi" w:hAnsiTheme="minorHAnsi"/>
        <w:sz w:val="20"/>
        <w:szCs w:val="20"/>
      </w:rPr>
    </w:pPr>
    <w:r w:rsidRPr="00315598">
      <w:rPr>
        <w:rFonts w:asciiTheme="minorHAnsi" w:hAnsiTheme="minorHAnsi" w:cs="Arial"/>
        <w:sz w:val="20"/>
        <w:szCs w:val="20"/>
      </w:rPr>
      <w:t>SFJCN301 Prepare for forensic investigations</w:t>
    </w:r>
    <w:r w:rsidRPr="00315598">
      <w:rPr>
        <w:rFonts w:asciiTheme="minorHAnsi" w:hAnsiTheme="minorHAnsi" w:cs="Arial"/>
        <w:sz w:val="20"/>
        <w:szCs w:val="20"/>
      </w:rPr>
      <w:tab/>
    </w:r>
    <w:r w:rsidRPr="00315598">
      <w:rPr>
        <w:rFonts w:asciiTheme="minorHAnsi" w:hAnsiTheme="minorHAnsi"/>
        <w:sz w:val="20"/>
        <w:szCs w:val="20"/>
      </w:rPr>
      <w:tab/>
    </w:r>
    <w:r w:rsidRPr="00315598">
      <w:rPr>
        <w:rFonts w:asciiTheme="minorHAnsi" w:hAnsiTheme="minorHAnsi"/>
        <w:sz w:val="20"/>
        <w:szCs w:val="20"/>
      </w:rPr>
      <w:tab/>
    </w:r>
    <w:r w:rsidR="00353EE1" w:rsidRPr="00315598">
      <w:rPr>
        <w:rFonts w:asciiTheme="minorHAnsi" w:hAnsiTheme="minorHAnsi" w:cs="Arial"/>
        <w:sz w:val="20"/>
        <w:szCs w:val="20"/>
      </w:rPr>
      <w:fldChar w:fldCharType="begin"/>
    </w:r>
    <w:r w:rsidRPr="00315598">
      <w:rPr>
        <w:rFonts w:asciiTheme="minorHAnsi" w:hAnsiTheme="minorHAnsi" w:cs="Arial"/>
        <w:sz w:val="20"/>
        <w:szCs w:val="20"/>
      </w:rPr>
      <w:instrText xml:space="preserve"> PAGE   \* MERGEFORMAT </w:instrText>
    </w:r>
    <w:r w:rsidR="00353EE1" w:rsidRPr="00315598">
      <w:rPr>
        <w:rFonts w:asciiTheme="minorHAnsi" w:hAnsiTheme="minorHAnsi" w:cs="Arial"/>
        <w:sz w:val="20"/>
        <w:szCs w:val="20"/>
      </w:rPr>
      <w:fldChar w:fldCharType="separate"/>
    </w:r>
    <w:r w:rsidR="00822955">
      <w:rPr>
        <w:rFonts w:asciiTheme="minorHAnsi" w:hAnsiTheme="minorHAnsi" w:cs="Arial"/>
        <w:noProof/>
        <w:sz w:val="20"/>
        <w:szCs w:val="20"/>
      </w:rPr>
      <w:t>1</w:t>
    </w:r>
    <w:r w:rsidR="00353EE1" w:rsidRPr="00315598"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F1" w:rsidRDefault="00D62EF1" w:rsidP="00521BFC">
      <w:r>
        <w:separator/>
      </w:r>
    </w:p>
  </w:footnote>
  <w:footnote w:type="continuationSeparator" w:id="0">
    <w:p w:rsidR="00D62EF1" w:rsidRDefault="00D62EF1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15" w:rsidRPr="00F0737A" w:rsidRDefault="00353EE1" w:rsidP="002063F2">
    <w:pPr>
      <w:tabs>
        <w:tab w:val="left" w:pos="7140"/>
      </w:tabs>
      <w:rPr>
        <w:rFonts w:asciiTheme="minorHAnsi" w:hAnsiTheme="minorHAnsi"/>
      </w:rPr>
    </w:pPr>
    <w:r>
      <w:rPr>
        <w:rFonts w:asciiTheme="minorHAnsi" w:hAnsiTheme="minorHAnsi"/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6pt;margin-top:65pt;width:509pt;height:0;z-index:251658240" o:connectortype="straight" strokecolor="#0070c0" strokeweight="1pt"/>
      </w:pict>
    </w:r>
    <w:r w:rsidR="00953515" w:rsidRPr="00315598">
      <w:rPr>
        <w:rFonts w:asciiTheme="minorHAnsi" w:hAnsiTheme="minorHAnsi" w:cs="Arial"/>
        <w:noProof/>
        <w:sz w:val="32"/>
        <w:szCs w:val="32"/>
      </w:rPr>
      <w:t>SFJCN301</w:t>
    </w:r>
    <w:r w:rsidR="00953515" w:rsidRPr="00F0737A">
      <w:rPr>
        <w:rFonts w:asciiTheme="minorHAnsi" w:hAnsiTheme="minorHAnsi" w:cs="Courier New"/>
        <w:noProof/>
        <w:sz w:val="32"/>
        <w:szCs w:val="32"/>
      </w:rPr>
      <w:br/>
    </w:r>
    <w:r w:rsidR="00953515" w:rsidRPr="00F0737A">
      <w:rPr>
        <w:rFonts w:asciiTheme="minorHAnsi" w:hAnsiTheme="minorHAnsi" w:cs="Arial"/>
        <w:noProof/>
        <w:sz w:val="32"/>
        <w:szCs w:val="32"/>
      </w:rPr>
      <w:t xml:space="preserve">Prepare for forensic investigations </w:t>
    </w:r>
    <w:r w:rsidR="00953515" w:rsidRPr="00F0737A">
      <w:rPr>
        <w:rFonts w:asciiTheme="minorHAnsi" w:hAnsiTheme="minorHAnsi" w:cs="Courier New"/>
        <w:noProof/>
        <w:sz w:val="32"/>
        <w:szCs w:val="32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616"/>
      <w:gridCol w:w="2616"/>
    </w:tblGrid>
    <w:tr w:rsidR="00953515" w:rsidTr="00AE6E43">
      <w:trPr>
        <w:cantSplit/>
        <w:trHeight w:val="1065"/>
      </w:trPr>
      <w:tc>
        <w:tcPr>
          <w:tcW w:w="7616" w:type="dxa"/>
        </w:tcPr>
        <w:p w:rsidR="00953515" w:rsidRPr="00315598" w:rsidRDefault="00953515" w:rsidP="00AE6E43">
          <w:pPr>
            <w:pStyle w:val="Header"/>
            <w:spacing w:after="0" w:line="240" w:lineRule="auto"/>
            <w:rPr>
              <w:rFonts w:asciiTheme="minorHAnsi" w:hAnsiTheme="minorHAnsi" w:cs="Arial"/>
              <w:sz w:val="32"/>
              <w:szCs w:val="32"/>
            </w:rPr>
          </w:pPr>
          <w:r w:rsidRPr="00315598">
            <w:rPr>
              <w:rFonts w:asciiTheme="minorHAnsi" w:hAnsiTheme="minorHAnsi" w:cs="Arial"/>
              <w:sz w:val="32"/>
              <w:szCs w:val="32"/>
            </w:rPr>
            <w:t>SFJCN301</w:t>
          </w:r>
        </w:p>
        <w:p w:rsidR="00953515" w:rsidRPr="00AE6E43" w:rsidRDefault="00953515" w:rsidP="00C6048F">
          <w:pPr>
            <w:pStyle w:val="Header"/>
            <w:spacing w:after="0" w:line="240" w:lineRule="auto"/>
            <w:rPr>
              <w:rFonts w:ascii="Arial" w:hAnsi="Arial" w:cs="Arial"/>
            </w:rPr>
          </w:pPr>
          <w:r w:rsidRPr="00315598">
            <w:rPr>
              <w:rFonts w:asciiTheme="minorHAnsi" w:hAnsiTheme="minorHAnsi" w:cs="Arial"/>
              <w:sz w:val="32"/>
              <w:szCs w:val="32"/>
            </w:rPr>
            <w:t>Prepare for forensic investigations</w:t>
          </w:r>
        </w:p>
      </w:tc>
      <w:tc>
        <w:tcPr>
          <w:tcW w:w="2616" w:type="dxa"/>
        </w:tcPr>
        <w:p w:rsidR="00953515" w:rsidRDefault="00953515" w:rsidP="00AE6E43">
          <w:pPr>
            <w:pStyle w:val="Header"/>
            <w:spacing w:after="0" w:line="240" w:lineRule="auto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95425" cy="819150"/>
                <wp:effectExtent l="19050" t="0" r="9525" b="0"/>
                <wp:docPr id="1" name="Picture 2" descr="N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3515" w:rsidRPr="009A1F82" w:rsidRDefault="00353EE1" w:rsidP="009A1F82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95pt;margin-top:22.5pt;width:509pt;height:0;z-index:251657216;mso-position-horizontal-relative:text;mso-position-vertical-relative:text" o:connectortype="straight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E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0A8279E"/>
    <w:multiLevelType w:val="hybridMultilevel"/>
    <w:tmpl w:val="10CA7FA8"/>
    <w:lvl w:ilvl="0" w:tplc="3A764694">
      <w:start w:val="1"/>
      <w:numFmt w:val="decimal"/>
      <w:lvlText w:val="P3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EC0411"/>
    <w:multiLevelType w:val="multilevel"/>
    <w:tmpl w:val="EFF06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6921CE"/>
    <w:multiLevelType w:val="hybridMultilevel"/>
    <w:tmpl w:val="60F63B0E"/>
    <w:lvl w:ilvl="0" w:tplc="0C2E9C44">
      <w:start w:val="1"/>
      <w:numFmt w:val="decimal"/>
      <w:lvlText w:val="K4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DF7B6B"/>
    <w:multiLevelType w:val="hybridMultilevel"/>
    <w:tmpl w:val="06789D74"/>
    <w:lvl w:ilvl="0" w:tplc="4052FED6">
      <w:start w:val="1"/>
      <w:numFmt w:val="decimal"/>
      <w:lvlText w:val="P5.%1"/>
      <w:lvlJc w:val="left"/>
      <w:pPr>
        <w:ind w:left="185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12E8A"/>
    <w:multiLevelType w:val="hybridMultilevel"/>
    <w:tmpl w:val="219262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AE2AC9"/>
    <w:multiLevelType w:val="multilevel"/>
    <w:tmpl w:val="43E2B514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3A4362A"/>
    <w:multiLevelType w:val="multilevel"/>
    <w:tmpl w:val="8AFA2FA0"/>
    <w:lvl w:ilvl="0">
      <w:start w:val="1"/>
      <w:numFmt w:val="decimal"/>
      <w:lvlText w:val="K1.%1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454E01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6A72C5F"/>
    <w:multiLevelType w:val="hybridMultilevel"/>
    <w:tmpl w:val="F45E690A"/>
    <w:lvl w:ilvl="0" w:tplc="F3140F18">
      <w:start w:val="1"/>
      <w:numFmt w:val="decimal"/>
      <w:lvlText w:val="P2.%1"/>
      <w:lvlJc w:val="left"/>
      <w:pPr>
        <w:ind w:left="185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B12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AE45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92C3AF9"/>
    <w:multiLevelType w:val="multilevel"/>
    <w:tmpl w:val="0AB8849A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5940436B"/>
    <w:multiLevelType w:val="hybridMultilevel"/>
    <w:tmpl w:val="5AACEB66"/>
    <w:lvl w:ilvl="0" w:tplc="B23AD0D0">
      <w:start w:val="1"/>
      <w:numFmt w:val="decimal"/>
      <w:lvlText w:val="K2.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9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CF353B"/>
    <w:multiLevelType w:val="multilevel"/>
    <w:tmpl w:val="448863D2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77746BE9"/>
    <w:multiLevelType w:val="multilevel"/>
    <w:tmpl w:val="C408FD1E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C73212B"/>
    <w:multiLevelType w:val="multilevel"/>
    <w:tmpl w:val="EFF06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D7D02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F0F323B"/>
    <w:multiLevelType w:val="hybridMultilevel"/>
    <w:tmpl w:val="94E463C0"/>
    <w:lvl w:ilvl="0" w:tplc="06E007C0">
      <w:start w:val="1"/>
      <w:numFmt w:val="decimal"/>
      <w:lvlText w:val="P1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23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21"/>
  </w:num>
  <w:num w:numId="17">
    <w:abstractNumId w:val="9"/>
  </w:num>
  <w:num w:numId="18">
    <w:abstractNumId w:val="25"/>
  </w:num>
  <w:num w:numId="19">
    <w:abstractNumId w:val="12"/>
  </w:num>
  <w:num w:numId="20">
    <w:abstractNumId w:val="2"/>
  </w:num>
  <w:num w:numId="21">
    <w:abstractNumId w:val="5"/>
  </w:num>
  <w:num w:numId="22">
    <w:abstractNumId w:val="6"/>
  </w:num>
  <w:num w:numId="23">
    <w:abstractNumId w:val="16"/>
  </w:num>
  <w:num w:numId="24">
    <w:abstractNumId w:val="17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089C"/>
    <w:rsid w:val="00000A1D"/>
    <w:rsid w:val="00002D55"/>
    <w:rsid w:val="00004E0E"/>
    <w:rsid w:val="00006091"/>
    <w:rsid w:val="000063C8"/>
    <w:rsid w:val="000076D9"/>
    <w:rsid w:val="0001002B"/>
    <w:rsid w:val="00013E41"/>
    <w:rsid w:val="0001420A"/>
    <w:rsid w:val="00015A11"/>
    <w:rsid w:val="00015A73"/>
    <w:rsid w:val="00016B9A"/>
    <w:rsid w:val="0002195A"/>
    <w:rsid w:val="00030FAC"/>
    <w:rsid w:val="00032DF0"/>
    <w:rsid w:val="00035310"/>
    <w:rsid w:val="0003593E"/>
    <w:rsid w:val="00036057"/>
    <w:rsid w:val="000443AC"/>
    <w:rsid w:val="00045F07"/>
    <w:rsid w:val="0004792D"/>
    <w:rsid w:val="00051B82"/>
    <w:rsid w:val="000556CF"/>
    <w:rsid w:val="00057CFE"/>
    <w:rsid w:val="00064CA7"/>
    <w:rsid w:val="00066CD2"/>
    <w:rsid w:val="00074FC4"/>
    <w:rsid w:val="00077B79"/>
    <w:rsid w:val="00084043"/>
    <w:rsid w:val="00085418"/>
    <w:rsid w:val="000867C6"/>
    <w:rsid w:val="00087784"/>
    <w:rsid w:val="00090C19"/>
    <w:rsid w:val="00090D12"/>
    <w:rsid w:val="00092160"/>
    <w:rsid w:val="00093E71"/>
    <w:rsid w:val="00096244"/>
    <w:rsid w:val="00096378"/>
    <w:rsid w:val="000A19A6"/>
    <w:rsid w:val="000A2920"/>
    <w:rsid w:val="000A3533"/>
    <w:rsid w:val="000A52F5"/>
    <w:rsid w:val="000A5804"/>
    <w:rsid w:val="000B1EFD"/>
    <w:rsid w:val="000B3471"/>
    <w:rsid w:val="000B6D40"/>
    <w:rsid w:val="000C4DC0"/>
    <w:rsid w:val="000C76FD"/>
    <w:rsid w:val="000D138C"/>
    <w:rsid w:val="000D38DB"/>
    <w:rsid w:val="000D5C23"/>
    <w:rsid w:val="000E0A1D"/>
    <w:rsid w:val="000E1A7E"/>
    <w:rsid w:val="0010370F"/>
    <w:rsid w:val="0010479B"/>
    <w:rsid w:val="001103C6"/>
    <w:rsid w:val="00110A2B"/>
    <w:rsid w:val="00115544"/>
    <w:rsid w:val="001205EB"/>
    <w:rsid w:val="0013639C"/>
    <w:rsid w:val="0016238F"/>
    <w:rsid w:val="001634E2"/>
    <w:rsid w:val="00173AEB"/>
    <w:rsid w:val="00176E82"/>
    <w:rsid w:val="00181052"/>
    <w:rsid w:val="00185673"/>
    <w:rsid w:val="00194432"/>
    <w:rsid w:val="001A269A"/>
    <w:rsid w:val="001A306E"/>
    <w:rsid w:val="001B06EE"/>
    <w:rsid w:val="001B0A7B"/>
    <w:rsid w:val="001B0BA6"/>
    <w:rsid w:val="001B27F0"/>
    <w:rsid w:val="001B31A1"/>
    <w:rsid w:val="001B7A7F"/>
    <w:rsid w:val="001C2FB9"/>
    <w:rsid w:val="001C52C2"/>
    <w:rsid w:val="001D17C9"/>
    <w:rsid w:val="001D5001"/>
    <w:rsid w:val="001E0471"/>
    <w:rsid w:val="001E1EE5"/>
    <w:rsid w:val="001E350B"/>
    <w:rsid w:val="001E75AC"/>
    <w:rsid w:val="001F55F5"/>
    <w:rsid w:val="001F6BF7"/>
    <w:rsid w:val="001F6DBB"/>
    <w:rsid w:val="002063F2"/>
    <w:rsid w:val="00210CE3"/>
    <w:rsid w:val="00212B2D"/>
    <w:rsid w:val="002143B8"/>
    <w:rsid w:val="0021511C"/>
    <w:rsid w:val="002151AA"/>
    <w:rsid w:val="002160B6"/>
    <w:rsid w:val="00222188"/>
    <w:rsid w:val="002229B0"/>
    <w:rsid w:val="00224BC7"/>
    <w:rsid w:val="00233C7F"/>
    <w:rsid w:val="0024080B"/>
    <w:rsid w:val="002427F4"/>
    <w:rsid w:val="002435C0"/>
    <w:rsid w:val="0025664D"/>
    <w:rsid w:val="00262F5D"/>
    <w:rsid w:val="00270B1B"/>
    <w:rsid w:val="002733F6"/>
    <w:rsid w:val="002774F2"/>
    <w:rsid w:val="002944BC"/>
    <w:rsid w:val="002A4C5F"/>
    <w:rsid w:val="002A7039"/>
    <w:rsid w:val="002B1E39"/>
    <w:rsid w:val="002B31C4"/>
    <w:rsid w:val="002B42E5"/>
    <w:rsid w:val="002B5343"/>
    <w:rsid w:val="002C069C"/>
    <w:rsid w:val="002C10D9"/>
    <w:rsid w:val="002C5190"/>
    <w:rsid w:val="002D1E76"/>
    <w:rsid w:val="002E36E7"/>
    <w:rsid w:val="002E3E75"/>
    <w:rsid w:val="002F4B2F"/>
    <w:rsid w:val="002F606F"/>
    <w:rsid w:val="002F647D"/>
    <w:rsid w:val="00303FD8"/>
    <w:rsid w:val="003053CA"/>
    <w:rsid w:val="00310CA1"/>
    <w:rsid w:val="00315598"/>
    <w:rsid w:val="00315CF7"/>
    <w:rsid w:val="00320442"/>
    <w:rsid w:val="003319D1"/>
    <w:rsid w:val="00335547"/>
    <w:rsid w:val="00345B06"/>
    <w:rsid w:val="003521D1"/>
    <w:rsid w:val="00353EE1"/>
    <w:rsid w:val="00360461"/>
    <w:rsid w:val="0036118B"/>
    <w:rsid w:val="003722CD"/>
    <w:rsid w:val="00377DED"/>
    <w:rsid w:val="00380447"/>
    <w:rsid w:val="00387C8A"/>
    <w:rsid w:val="00392637"/>
    <w:rsid w:val="00395093"/>
    <w:rsid w:val="003A1C36"/>
    <w:rsid w:val="003B30CB"/>
    <w:rsid w:val="003B7932"/>
    <w:rsid w:val="003C327F"/>
    <w:rsid w:val="003C4768"/>
    <w:rsid w:val="003C6D88"/>
    <w:rsid w:val="003D3486"/>
    <w:rsid w:val="003D524D"/>
    <w:rsid w:val="003D7EF3"/>
    <w:rsid w:val="003E2694"/>
    <w:rsid w:val="003F7686"/>
    <w:rsid w:val="003F7AE8"/>
    <w:rsid w:val="00401539"/>
    <w:rsid w:val="004103D1"/>
    <w:rsid w:val="0041273C"/>
    <w:rsid w:val="00413FC4"/>
    <w:rsid w:val="00414C13"/>
    <w:rsid w:val="004156D8"/>
    <w:rsid w:val="004228B1"/>
    <w:rsid w:val="00430EFF"/>
    <w:rsid w:val="00431135"/>
    <w:rsid w:val="00431CA1"/>
    <w:rsid w:val="004322D1"/>
    <w:rsid w:val="004323FE"/>
    <w:rsid w:val="00433E5A"/>
    <w:rsid w:val="00436586"/>
    <w:rsid w:val="004375BF"/>
    <w:rsid w:val="00447016"/>
    <w:rsid w:val="00451CC3"/>
    <w:rsid w:val="00464D86"/>
    <w:rsid w:val="00467D6A"/>
    <w:rsid w:val="00474BDB"/>
    <w:rsid w:val="00474D3E"/>
    <w:rsid w:val="004901D8"/>
    <w:rsid w:val="00490737"/>
    <w:rsid w:val="00491F62"/>
    <w:rsid w:val="00494B32"/>
    <w:rsid w:val="004971C9"/>
    <w:rsid w:val="004971DB"/>
    <w:rsid w:val="00497C87"/>
    <w:rsid w:val="004A53BF"/>
    <w:rsid w:val="004A57E2"/>
    <w:rsid w:val="004B12F4"/>
    <w:rsid w:val="004B1702"/>
    <w:rsid w:val="004B442C"/>
    <w:rsid w:val="004B49C7"/>
    <w:rsid w:val="004C1D4B"/>
    <w:rsid w:val="004D08DE"/>
    <w:rsid w:val="004D0EEB"/>
    <w:rsid w:val="004D1F3B"/>
    <w:rsid w:val="004D6960"/>
    <w:rsid w:val="004E05F7"/>
    <w:rsid w:val="004E21DC"/>
    <w:rsid w:val="0050084C"/>
    <w:rsid w:val="005027E6"/>
    <w:rsid w:val="00515426"/>
    <w:rsid w:val="00521BFC"/>
    <w:rsid w:val="0052780A"/>
    <w:rsid w:val="00534559"/>
    <w:rsid w:val="00536FEC"/>
    <w:rsid w:val="00540315"/>
    <w:rsid w:val="00540609"/>
    <w:rsid w:val="00540778"/>
    <w:rsid w:val="00545BAC"/>
    <w:rsid w:val="00550971"/>
    <w:rsid w:val="00556342"/>
    <w:rsid w:val="00563BF7"/>
    <w:rsid w:val="00582A31"/>
    <w:rsid w:val="005833E2"/>
    <w:rsid w:val="00591EF4"/>
    <w:rsid w:val="00596B4B"/>
    <w:rsid w:val="005A4236"/>
    <w:rsid w:val="005A4430"/>
    <w:rsid w:val="005B01E9"/>
    <w:rsid w:val="005B28CF"/>
    <w:rsid w:val="005C618B"/>
    <w:rsid w:val="005D536C"/>
    <w:rsid w:val="005E09C4"/>
    <w:rsid w:val="005E6FAE"/>
    <w:rsid w:val="005F58C2"/>
    <w:rsid w:val="005F58DE"/>
    <w:rsid w:val="005F7364"/>
    <w:rsid w:val="005F7445"/>
    <w:rsid w:val="005F7944"/>
    <w:rsid w:val="006043DF"/>
    <w:rsid w:val="006075B5"/>
    <w:rsid w:val="00607653"/>
    <w:rsid w:val="00610303"/>
    <w:rsid w:val="006145C8"/>
    <w:rsid w:val="00621F6A"/>
    <w:rsid w:val="006229C7"/>
    <w:rsid w:val="00623C04"/>
    <w:rsid w:val="0063089C"/>
    <w:rsid w:val="00637642"/>
    <w:rsid w:val="00644627"/>
    <w:rsid w:val="006447AC"/>
    <w:rsid w:val="00647493"/>
    <w:rsid w:val="006505B2"/>
    <w:rsid w:val="00654074"/>
    <w:rsid w:val="0066162E"/>
    <w:rsid w:val="006714C6"/>
    <w:rsid w:val="00672A79"/>
    <w:rsid w:val="00673383"/>
    <w:rsid w:val="00683429"/>
    <w:rsid w:val="00685DDB"/>
    <w:rsid w:val="00687545"/>
    <w:rsid w:val="00690067"/>
    <w:rsid w:val="00692FE1"/>
    <w:rsid w:val="00694A3C"/>
    <w:rsid w:val="006957B4"/>
    <w:rsid w:val="006A129C"/>
    <w:rsid w:val="006A1C03"/>
    <w:rsid w:val="006A61E1"/>
    <w:rsid w:val="006B2227"/>
    <w:rsid w:val="006B4495"/>
    <w:rsid w:val="006C2574"/>
    <w:rsid w:val="006D03D8"/>
    <w:rsid w:val="006E0E81"/>
    <w:rsid w:val="006E35D0"/>
    <w:rsid w:val="006F0706"/>
    <w:rsid w:val="006F3CA8"/>
    <w:rsid w:val="007017D1"/>
    <w:rsid w:val="007156AF"/>
    <w:rsid w:val="00715D93"/>
    <w:rsid w:val="00716203"/>
    <w:rsid w:val="00724E04"/>
    <w:rsid w:val="00726306"/>
    <w:rsid w:val="00733F1E"/>
    <w:rsid w:val="0073515D"/>
    <w:rsid w:val="00742745"/>
    <w:rsid w:val="00753242"/>
    <w:rsid w:val="007606C4"/>
    <w:rsid w:val="007613C5"/>
    <w:rsid w:val="00761929"/>
    <w:rsid w:val="00762896"/>
    <w:rsid w:val="00762E29"/>
    <w:rsid w:val="00780EAB"/>
    <w:rsid w:val="00785D30"/>
    <w:rsid w:val="00791C53"/>
    <w:rsid w:val="007A13ED"/>
    <w:rsid w:val="007A449D"/>
    <w:rsid w:val="007B0672"/>
    <w:rsid w:val="007B5376"/>
    <w:rsid w:val="007C232F"/>
    <w:rsid w:val="007C7DC5"/>
    <w:rsid w:val="007D3CB0"/>
    <w:rsid w:val="007D52B7"/>
    <w:rsid w:val="007D68EF"/>
    <w:rsid w:val="007E512B"/>
    <w:rsid w:val="007E7D16"/>
    <w:rsid w:val="0080286D"/>
    <w:rsid w:val="00811C63"/>
    <w:rsid w:val="00822955"/>
    <w:rsid w:val="0082306F"/>
    <w:rsid w:val="00823628"/>
    <w:rsid w:val="0084302D"/>
    <w:rsid w:val="00847EA7"/>
    <w:rsid w:val="00860755"/>
    <w:rsid w:val="008616C3"/>
    <w:rsid w:val="0086259F"/>
    <w:rsid w:val="00862792"/>
    <w:rsid w:val="008642AB"/>
    <w:rsid w:val="00866606"/>
    <w:rsid w:val="00877960"/>
    <w:rsid w:val="008829A1"/>
    <w:rsid w:val="00886A13"/>
    <w:rsid w:val="0089143B"/>
    <w:rsid w:val="00892883"/>
    <w:rsid w:val="00893D20"/>
    <w:rsid w:val="008961DA"/>
    <w:rsid w:val="008A2610"/>
    <w:rsid w:val="008A4462"/>
    <w:rsid w:val="008A4E8E"/>
    <w:rsid w:val="008A5F95"/>
    <w:rsid w:val="008B04B4"/>
    <w:rsid w:val="008B21FF"/>
    <w:rsid w:val="008B3E91"/>
    <w:rsid w:val="008B472C"/>
    <w:rsid w:val="008B5570"/>
    <w:rsid w:val="008C0064"/>
    <w:rsid w:val="008F6734"/>
    <w:rsid w:val="00901FEF"/>
    <w:rsid w:val="0090468B"/>
    <w:rsid w:val="0090729C"/>
    <w:rsid w:val="009150E0"/>
    <w:rsid w:val="0091573A"/>
    <w:rsid w:val="00926071"/>
    <w:rsid w:val="00926F31"/>
    <w:rsid w:val="0093762E"/>
    <w:rsid w:val="009406A9"/>
    <w:rsid w:val="009413C7"/>
    <w:rsid w:val="0094762A"/>
    <w:rsid w:val="009507C1"/>
    <w:rsid w:val="009524C5"/>
    <w:rsid w:val="00953515"/>
    <w:rsid w:val="009555CC"/>
    <w:rsid w:val="00957D1B"/>
    <w:rsid w:val="00960466"/>
    <w:rsid w:val="00964343"/>
    <w:rsid w:val="009648B9"/>
    <w:rsid w:val="00965C13"/>
    <w:rsid w:val="00967459"/>
    <w:rsid w:val="00970FA0"/>
    <w:rsid w:val="009743FC"/>
    <w:rsid w:val="00974A9C"/>
    <w:rsid w:val="009759E7"/>
    <w:rsid w:val="00980F40"/>
    <w:rsid w:val="00987F3E"/>
    <w:rsid w:val="009966D8"/>
    <w:rsid w:val="009A1F82"/>
    <w:rsid w:val="009A25C9"/>
    <w:rsid w:val="009B3DAA"/>
    <w:rsid w:val="009C3304"/>
    <w:rsid w:val="009C3949"/>
    <w:rsid w:val="009D063D"/>
    <w:rsid w:val="009D20A6"/>
    <w:rsid w:val="009D3E57"/>
    <w:rsid w:val="009E33A2"/>
    <w:rsid w:val="009E742F"/>
    <w:rsid w:val="009F1381"/>
    <w:rsid w:val="009F5881"/>
    <w:rsid w:val="009F7CB5"/>
    <w:rsid w:val="00A10E28"/>
    <w:rsid w:val="00A125F1"/>
    <w:rsid w:val="00A13C08"/>
    <w:rsid w:val="00A36351"/>
    <w:rsid w:val="00A560A0"/>
    <w:rsid w:val="00A664B3"/>
    <w:rsid w:val="00A711D6"/>
    <w:rsid w:val="00A73B2E"/>
    <w:rsid w:val="00A86829"/>
    <w:rsid w:val="00A90688"/>
    <w:rsid w:val="00A910A6"/>
    <w:rsid w:val="00A92AB5"/>
    <w:rsid w:val="00A9731F"/>
    <w:rsid w:val="00AA411C"/>
    <w:rsid w:val="00AA62C5"/>
    <w:rsid w:val="00AB493E"/>
    <w:rsid w:val="00AB7B1B"/>
    <w:rsid w:val="00AC0220"/>
    <w:rsid w:val="00AC5EE5"/>
    <w:rsid w:val="00AE57EF"/>
    <w:rsid w:val="00AE6E43"/>
    <w:rsid w:val="00B15A0B"/>
    <w:rsid w:val="00B165CE"/>
    <w:rsid w:val="00B4020E"/>
    <w:rsid w:val="00B43243"/>
    <w:rsid w:val="00B51DAF"/>
    <w:rsid w:val="00B5446B"/>
    <w:rsid w:val="00B652FB"/>
    <w:rsid w:val="00B66F7A"/>
    <w:rsid w:val="00B73F65"/>
    <w:rsid w:val="00B82F94"/>
    <w:rsid w:val="00B9514C"/>
    <w:rsid w:val="00BA174C"/>
    <w:rsid w:val="00BA2445"/>
    <w:rsid w:val="00BC5E81"/>
    <w:rsid w:val="00BC5EEB"/>
    <w:rsid w:val="00BD4F0E"/>
    <w:rsid w:val="00BE436E"/>
    <w:rsid w:val="00BF663F"/>
    <w:rsid w:val="00C077DD"/>
    <w:rsid w:val="00C12BFA"/>
    <w:rsid w:val="00C20B78"/>
    <w:rsid w:val="00C241A2"/>
    <w:rsid w:val="00C2528F"/>
    <w:rsid w:val="00C327DC"/>
    <w:rsid w:val="00C33516"/>
    <w:rsid w:val="00C372A8"/>
    <w:rsid w:val="00C37A15"/>
    <w:rsid w:val="00C55B0A"/>
    <w:rsid w:val="00C6048F"/>
    <w:rsid w:val="00C617B3"/>
    <w:rsid w:val="00C717B8"/>
    <w:rsid w:val="00C73990"/>
    <w:rsid w:val="00C758AA"/>
    <w:rsid w:val="00C77C64"/>
    <w:rsid w:val="00C80E62"/>
    <w:rsid w:val="00C92654"/>
    <w:rsid w:val="00C94311"/>
    <w:rsid w:val="00C95C3A"/>
    <w:rsid w:val="00CA0B7E"/>
    <w:rsid w:val="00CA0BEC"/>
    <w:rsid w:val="00CA3700"/>
    <w:rsid w:val="00CA71BA"/>
    <w:rsid w:val="00CC2785"/>
    <w:rsid w:val="00CF4D98"/>
    <w:rsid w:val="00CF6B1C"/>
    <w:rsid w:val="00D03896"/>
    <w:rsid w:val="00D13FFB"/>
    <w:rsid w:val="00D15081"/>
    <w:rsid w:val="00D27CC8"/>
    <w:rsid w:val="00D33BD9"/>
    <w:rsid w:val="00D50956"/>
    <w:rsid w:val="00D618A5"/>
    <w:rsid w:val="00D62EF1"/>
    <w:rsid w:val="00D646F9"/>
    <w:rsid w:val="00D762B7"/>
    <w:rsid w:val="00D9240E"/>
    <w:rsid w:val="00D945AE"/>
    <w:rsid w:val="00DA0020"/>
    <w:rsid w:val="00DA23DD"/>
    <w:rsid w:val="00DB1A9E"/>
    <w:rsid w:val="00DB2AA3"/>
    <w:rsid w:val="00DB6311"/>
    <w:rsid w:val="00DC076C"/>
    <w:rsid w:val="00DC2A28"/>
    <w:rsid w:val="00DD0BA0"/>
    <w:rsid w:val="00DD1DF3"/>
    <w:rsid w:val="00DD4972"/>
    <w:rsid w:val="00DD6775"/>
    <w:rsid w:val="00DE2894"/>
    <w:rsid w:val="00DE55C1"/>
    <w:rsid w:val="00DF4BC7"/>
    <w:rsid w:val="00DF64BC"/>
    <w:rsid w:val="00DF70EE"/>
    <w:rsid w:val="00E01504"/>
    <w:rsid w:val="00E06A72"/>
    <w:rsid w:val="00E1299D"/>
    <w:rsid w:val="00E2189F"/>
    <w:rsid w:val="00E23877"/>
    <w:rsid w:val="00E23BB6"/>
    <w:rsid w:val="00E27661"/>
    <w:rsid w:val="00E30666"/>
    <w:rsid w:val="00E30B15"/>
    <w:rsid w:val="00E31686"/>
    <w:rsid w:val="00E43AF1"/>
    <w:rsid w:val="00E569AA"/>
    <w:rsid w:val="00E61215"/>
    <w:rsid w:val="00E664BC"/>
    <w:rsid w:val="00E66529"/>
    <w:rsid w:val="00E738B3"/>
    <w:rsid w:val="00E740B7"/>
    <w:rsid w:val="00E80A62"/>
    <w:rsid w:val="00EB119F"/>
    <w:rsid w:val="00EB50D3"/>
    <w:rsid w:val="00EB6434"/>
    <w:rsid w:val="00EC19B3"/>
    <w:rsid w:val="00EC1AA4"/>
    <w:rsid w:val="00EC71A9"/>
    <w:rsid w:val="00ED4338"/>
    <w:rsid w:val="00EE1162"/>
    <w:rsid w:val="00EE5D4B"/>
    <w:rsid w:val="00EF3277"/>
    <w:rsid w:val="00F02CCD"/>
    <w:rsid w:val="00F0737A"/>
    <w:rsid w:val="00F129CF"/>
    <w:rsid w:val="00F152BB"/>
    <w:rsid w:val="00F2327D"/>
    <w:rsid w:val="00F25CCF"/>
    <w:rsid w:val="00F2717E"/>
    <w:rsid w:val="00F307E2"/>
    <w:rsid w:val="00F320DE"/>
    <w:rsid w:val="00F353EE"/>
    <w:rsid w:val="00F404FC"/>
    <w:rsid w:val="00F4296C"/>
    <w:rsid w:val="00F4366E"/>
    <w:rsid w:val="00F45010"/>
    <w:rsid w:val="00F45348"/>
    <w:rsid w:val="00F45982"/>
    <w:rsid w:val="00F46617"/>
    <w:rsid w:val="00F46FC9"/>
    <w:rsid w:val="00F57A80"/>
    <w:rsid w:val="00F656FD"/>
    <w:rsid w:val="00F6600B"/>
    <w:rsid w:val="00F72712"/>
    <w:rsid w:val="00F75610"/>
    <w:rsid w:val="00F80D5C"/>
    <w:rsid w:val="00F83C96"/>
    <w:rsid w:val="00F90C6C"/>
    <w:rsid w:val="00F90E29"/>
    <w:rsid w:val="00F96AF3"/>
    <w:rsid w:val="00F96FF2"/>
    <w:rsid w:val="00FA164F"/>
    <w:rsid w:val="00FB3A0A"/>
    <w:rsid w:val="00FB6FAF"/>
    <w:rsid w:val="00FB7C0B"/>
    <w:rsid w:val="00FB7E70"/>
    <w:rsid w:val="00FC2345"/>
    <w:rsid w:val="00FC54E3"/>
    <w:rsid w:val="00FC6F60"/>
    <w:rsid w:val="00FD0954"/>
    <w:rsid w:val="00FD64FB"/>
    <w:rsid w:val="00FD7584"/>
    <w:rsid w:val="00FD759E"/>
    <w:rsid w:val="00FD775F"/>
    <w:rsid w:val="00FE3F3E"/>
    <w:rsid w:val="00FF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qFormat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uiPriority w:val="99"/>
    <w:qFormat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6"/>
      </w:numPr>
      <w:ind w:left="567" w:hanging="567"/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B4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8877EB682AF99B42B81A6CD7D441E5E6" ma:contentTypeVersion="0" ma:contentTypeDescription="" ma:contentTypeScope="" ma:versionID="c829b19377abe95ebc3d64f1f0500957">
  <xsd:schema xmlns:xsd="http://www.w3.org/2001/XMLSchema" xmlns:p="http://schemas.microsoft.com/office/2006/metadata/properties" xmlns:ns2="B3F97EDC-BF82-4B36-89C9-D5377CEFD330" targetNamespace="http://schemas.microsoft.com/office/2006/metadata/properties" ma:root="true" ma:fieldsID="5c003bd0b640506a4f892caefc42ae15" ns2:_="">
    <xsd:import namespace="B3F97EDC-BF82-4B36-89C9-D5377CEFD33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3F97EDC-BF82-4B36-89C9-D5377CEFD330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tus xmlns="B3F97EDC-BF82-4B36-89C9-D5377CEFD330">Draft</Status>
    <Owner xmlns="B3F97EDC-BF82-4B36-89C9-D5377CEFD330">
      <UserInfo>
        <DisplayName/>
        <AccountId xsi:nil="true"/>
        <AccountType/>
      </UserInfo>
    </Owner>
    <Links xmlns="B3F97EDC-BF82-4B36-89C9-D5377CEFD3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FB91B-F16D-40F3-A821-73AF89BAC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97EDC-BF82-4B36-89C9-D5377CEFD3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2A518A-71D3-4C1C-A8F5-E80936BD5904}">
  <ds:schemaRefs>
    <ds:schemaRef ds:uri="http://schemas.microsoft.com/office/2006/metadata/properties"/>
    <ds:schemaRef ds:uri="B3F97EDC-BF82-4B36-89C9-D5377CEFD330"/>
  </ds:schemaRefs>
</ds:datastoreItem>
</file>

<file path=customXml/itemProps3.xml><?xml version="1.0" encoding="utf-8"?>
<ds:datastoreItem xmlns:ds="http://schemas.openxmlformats.org/officeDocument/2006/customXml" ds:itemID="{8BF2FE46-5E33-4AB7-961B-0D932BB32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3AD5A-865F-4E86-8DCB-754B992C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CHoulden</dc:creator>
  <cp:lastModifiedBy>helen.anayiotos</cp:lastModifiedBy>
  <cp:revision>18</cp:revision>
  <dcterms:created xsi:type="dcterms:W3CDTF">2013-09-02T10:00:00Z</dcterms:created>
  <dcterms:modified xsi:type="dcterms:W3CDTF">2013-10-29T11:00:00Z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0x0101008A98423170284BEEB635F43C3CF4E98B008877EB682AF99B42B81A6CD7D441E5E6</vt:lpwstr>
  </property>
</Properties>
</file>